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ind w:left="7080"/>
        <w:rPr>
          <w:rFonts w:ascii="Verdana" w:hAnsi="Verdana"/>
          <w:highlight w:val="yellow"/>
        </w:rPr>
      </w:pPr>
      <w:bookmarkStart w:id="0" w:name="_GoBack"/>
      <w:bookmarkEnd w:id="0"/>
    </w:p>
    <w:p>
      <w:pPr>
        <w:ind w:left="7080"/>
        <w:rPr>
          <w:rFonts w:ascii="Verdana" w:hAnsi="Verdana"/>
          <w:highlight w:val="yellow"/>
        </w:rPr>
      </w:pPr>
    </w:p>
    <w:p>
      <w:pPr>
        <w:ind w:left="7080"/>
        <w:rPr>
          <w:rFonts w:ascii="Verdana" w:hAnsi="Verdana"/>
        </w:rPr>
      </w:pPr>
    </w:p>
    <w:p>
      <w:pPr>
        <w:jc w:val="right"/>
        <w:rPr>
          <w:rFonts w:ascii="Verdana" w:hAnsi="Verdana"/>
        </w:rPr>
      </w:pPr>
      <w:r>
        <w:rPr>
          <w:rFonts w:ascii="Verdana" w:hAnsi="Verdana"/>
        </w:rPr>
        <w:t>DATE : 19 mars 2024</w:t>
      </w:r>
    </w:p>
    <w:p>
      <w:pPr>
        <w:pBdr>
          <w:top w:val="single" w:sz="4" w:space="1" w:color="auto"/>
          <w:left w:val="single" w:sz="4" w:space="4" w:color="auto"/>
          <w:bottom w:val="single" w:sz="4" w:space="1" w:color="auto"/>
          <w:right w:val="single" w:sz="4" w:space="4" w:color="auto"/>
        </w:pBdr>
        <w:jc w:val="center"/>
        <w:rPr>
          <w:rFonts w:ascii="Verdana" w:hAnsi="Verdana"/>
          <w:b/>
        </w:rPr>
      </w:pPr>
      <w:r>
        <w:rPr>
          <w:rFonts w:ascii="Verdana" w:hAnsi="Verdana"/>
          <w:b/>
        </w:rPr>
        <w:t xml:space="preserve">DEUXIÈME APPEL </w:t>
      </w:r>
    </w:p>
    <w:p>
      <w:pPr>
        <w:pBdr>
          <w:top w:val="single" w:sz="4" w:space="1" w:color="auto"/>
          <w:left w:val="single" w:sz="4" w:space="4" w:color="auto"/>
          <w:bottom w:val="single" w:sz="4" w:space="1" w:color="auto"/>
          <w:right w:val="single" w:sz="4" w:space="4" w:color="auto"/>
        </w:pBdr>
        <w:jc w:val="center"/>
        <w:rPr>
          <w:rFonts w:ascii="Verdana" w:hAnsi="Verdana"/>
          <w:b/>
        </w:rPr>
      </w:pPr>
      <w:r>
        <w:rPr>
          <w:rFonts w:ascii="Verdana" w:hAnsi="Verdana"/>
          <w:b/>
        </w:rPr>
        <w:t xml:space="preserve">A CANDIDATURES A UNE FONCTION DE DIRECTEUR/ DIRECTRICE </w:t>
      </w:r>
    </w:p>
    <w:p>
      <w:pPr>
        <w:pBdr>
          <w:top w:val="single" w:sz="4" w:space="1" w:color="auto"/>
          <w:left w:val="single" w:sz="4" w:space="4" w:color="auto"/>
          <w:bottom w:val="single" w:sz="4" w:space="1" w:color="auto"/>
          <w:right w:val="single" w:sz="4" w:space="4" w:color="auto"/>
        </w:pBdr>
        <w:jc w:val="center"/>
        <w:rPr>
          <w:rFonts w:ascii="Verdana" w:hAnsi="Verdana"/>
          <w:b/>
          <w:highlight w:val="yellow"/>
        </w:rPr>
      </w:pPr>
      <w:r>
        <w:rPr>
          <w:rFonts w:ascii="Verdana" w:hAnsi="Verdana"/>
          <w:b/>
        </w:rPr>
        <w:t>DANS L’ENSEIGNEMENT DE PROMOTION SOCIALE</w:t>
      </w:r>
    </w:p>
    <w:p>
      <w:pPr>
        <w:pBdr>
          <w:top w:val="single" w:sz="4" w:space="1" w:color="auto"/>
          <w:left w:val="single" w:sz="4" w:space="4" w:color="auto"/>
          <w:bottom w:val="single" w:sz="4" w:space="1" w:color="auto"/>
          <w:right w:val="single" w:sz="4" w:space="4" w:color="auto"/>
        </w:pBdr>
        <w:jc w:val="center"/>
        <w:rPr>
          <w:rFonts w:ascii="Verdana" w:hAnsi="Verdana"/>
          <w:b/>
        </w:rPr>
      </w:pPr>
      <w:r>
        <w:rPr>
          <w:rFonts w:ascii="Verdana" w:hAnsi="Verdana"/>
          <w:b/>
        </w:rPr>
        <w:t>-</w:t>
      </w:r>
    </w:p>
    <w:p>
      <w:pPr>
        <w:pBdr>
          <w:top w:val="single" w:sz="4" w:space="1" w:color="auto"/>
          <w:left w:val="single" w:sz="4" w:space="4" w:color="auto"/>
          <w:bottom w:val="single" w:sz="4" w:space="1" w:color="auto"/>
          <w:right w:val="single" w:sz="4" w:space="4" w:color="auto"/>
        </w:pBdr>
        <w:jc w:val="center"/>
        <w:rPr>
          <w:rFonts w:ascii="Verdana" w:hAnsi="Verdana"/>
          <w:b/>
        </w:rPr>
      </w:pPr>
      <w:r>
        <w:rPr>
          <w:rFonts w:ascii="Verdana" w:hAnsi="Verdana"/>
          <w:b/>
        </w:rPr>
        <w:t>ADMISSION AU STAGE</w:t>
      </w:r>
    </w:p>
    <w:p>
      <w:pPr>
        <w:pBdr>
          <w:top w:val="single" w:sz="4" w:space="1" w:color="auto"/>
          <w:left w:val="single" w:sz="4" w:space="4" w:color="auto"/>
          <w:bottom w:val="single" w:sz="4" w:space="1" w:color="auto"/>
          <w:right w:val="single" w:sz="4" w:space="4" w:color="auto"/>
        </w:pBdr>
        <w:rPr>
          <w:rFonts w:ascii="Verdana" w:hAnsi="Verdana"/>
        </w:rPr>
      </w:pPr>
    </w:p>
    <w:p>
      <w:pPr>
        <w:pBdr>
          <w:top w:val="single" w:sz="4" w:space="1" w:color="auto"/>
          <w:left w:val="single" w:sz="4" w:space="4" w:color="auto"/>
          <w:bottom w:val="single" w:sz="4" w:space="1" w:color="auto"/>
          <w:right w:val="single" w:sz="4" w:space="4" w:color="auto"/>
        </w:pBdr>
        <w:rPr>
          <w:rFonts w:ascii="Verdana" w:hAnsi="Verdana"/>
          <w:u w:val="single"/>
        </w:rPr>
      </w:pPr>
      <w:r>
        <w:rPr>
          <w:rFonts w:ascii="Verdana" w:hAnsi="Verdana"/>
          <w:u w:val="single"/>
        </w:rPr>
        <w:t>Coordonnées du P.O.</w:t>
      </w:r>
    </w:p>
    <w:p>
      <w:pPr>
        <w:pBdr>
          <w:top w:val="single" w:sz="4" w:space="1" w:color="auto"/>
          <w:left w:val="single" w:sz="4" w:space="4" w:color="auto"/>
          <w:bottom w:val="single" w:sz="4" w:space="1" w:color="auto"/>
          <w:right w:val="single" w:sz="4" w:space="4" w:color="auto"/>
        </w:pBdr>
        <w:rPr>
          <w:rFonts w:ascii="Verdana" w:hAnsi="Verdana"/>
        </w:rPr>
      </w:pPr>
      <w:r>
        <w:rPr>
          <w:rFonts w:ascii="Verdana" w:hAnsi="Verdana"/>
        </w:rPr>
        <w:t>Nom : Wallonie-Bruxelles Enseignement (WBE)</w:t>
      </w:r>
    </w:p>
    <w:p>
      <w:pPr>
        <w:pBdr>
          <w:top w:val="single" w:sz="4" w:space="1" w:color="auto"/>
          <w:left w:val="single" w:sz="4" w:space="4" w:color="auto"/>
          <w:bottom w:val="single" w:sz="4" w:space="1" w:color="auto"/>
          <w:right w:val="single" w:sz="4" w:space="4" w:color="auto"/>
        </w:pBdr>
        <w:rPr>
          <w:rFonts w:ascii="Verdana" w:hAnsi="Verdana"/>
        </w:rPr>
      </w:pPr>
      <w:r>
        <w:rPr>
          <w:rFonts w:ascii="Verdana" w:hAnsi="Verdana"/>
        </w:rPr>
        <w:t>Adresse : Boulevard du Jardin Botanique 20-22, 1000 Bruxelles</w:t>
      </w:r>
    </w:p>
    <w:p>
      <w:pPr>
        <w:pBdr>
          <w:top w:val="single" w:sz="4" w:space="1" w:color="auto"/>
          <w:left w:val="single" w:sz="4" w:space="4" w:color="auto"/>
          <w:bottom w:val="single" w:sz="4" w:space="1" w:color="auto"/>
          <w:right w:val="single" w:sz="4" w:space="4" w:color="auto"/>
        </w:pBdr>
        <w:rPr>
          <w:rFonts w:ascii="Verdana" w:hAnsi="Verdana"/>
        </w:rPr>
      </w:pPr>
      <w:r>
        <w:rPr>
          <w:rFonts w:ascii="Verdana" w:hAnsi="Verdana"/>
        </w:rPr>
        <w:t xml:space="preserve">Adresse électronique : </w:t>
      </w:r>
      <w:hyperlink r:id="rId9">
        <w:r>
          <w:rPr>
            <w:rStyle w:val="LienInternet"/>
            <w:rFonts w:ascii="Verdana" w:hAnsi="Verdana"/>
          </w:rPr>
          <w:t>selection.promotion(at)w-b-e.be</w:t>
        </w:r>
      </w:hyperlink>
    </w:p>
    <w:p>
      <w:pPr>
        <w:pBdr>
          <w:top w:val="single" w:sz="4" w:space="1" w:color="auto"/>
          <w:left w:val="single" w:sz="4" w:space="4" w:color="auto"/>
          <w:bottom w:val="single" w:sz="4" w:space="1" w:color="auto"/>
          <w:right w:val="single" w:sz="4" w:space="4" w:color="auto"/>
        </w:pBdr>
        <w:rPr>
          <w:rFonts w:ascii="Verdana" w:hAnsi="Verdana"/>
        </w:rPr>
      </w:pPr>
      <w:r>
        <w:rPr>
          <w:rFonts w:ascii="Verdana" w:hAnsi="Verdana"/>
        </w:rPr>
        <w:t>Site web : https://www.w-b-e.be/</w:t>
      </w:r>
    </w:p>
    <w:p>
      <w:pPr>
        <w:pBdr>
          <w:top w:val="single" w:sz="4" w:space="1" w:color="auto"/>
          <w:left w:val="single" w:sz="4" w:space="4" w:color="auto"/>
          <w:bottom w:val="single" w:sz="4" w:space="1" w:color="auto"/>
          <w:right w:val="single" w:sz="4" w:space="4" w:color="auto"/>
        </w:pBdr>
        <w:rPr>
          <w:rFonts w:ascii="Verdana" w:hAnsi="Verdana"/>
          <w:u w:val="single"/>
        </w:rPr>
      </w:pPr>
      <w:r>
        <w:rPr>
          <w:rFonts w:ascii="Verdana" w:hAnsi="Verdana"/>
          <w:u w:val="single"/>
        </w:rPr>
        <w:t>Coordonnées de l'école</w:t>
      </w:r>
    </w:p>
    <w:p>
      <w:pPr>
        <w:pBdr>
          <w:top w:val="single" w:sz="4" w:space="1" w:color="auto"/>
          <w:left w:val="single" w:sz="4" w:space="4" w:color="auto"/>
          <w:bottom w:val="single" w:sz="4" w:space="1" w:color="auto"/>
          <w:right w:val="single" w:sz="4" w:space="4" w:color="auto"/>
        </w:pBdr>
        <w:rPr>
          <w:rFonts w:ascii="Verdana" w:hAnsi="Verdana"/>
        </w:rPr>
      </w:pPr>
      <w:r>
        <w:rPr>
          <w:rFonts w:ascii="Verdana" w:hAnsi="Verdana"/>
        </w:rPr>
        <w:t>Nom : Etablissement d'Enseignement pour Adulte et de Formation Continue (EAFC) Hesbaye – Condroz de Waremme</w:t>
      </w:r>
    </w:p>
    <w:p>
      <w:pPr>
        <w:pBdr>
          <w:top w:val="single" w:sz="4" w:space="1" w:color="auto"/>
          <w:left w:val="single" w:sz="4" w:space="4" w:color="auto"/>
          <w:bottom w:val="single" w:sz="4" w:space="1" w:color="auto"/>
          <w:right w:val="single" w:sz="4" w:space="4" w:color="auto"/>
        </w:pBdr>
        <w:rPr>
          <w:rFonts w:ascii="Verdana" w:hAnsi="Verdana"/>
        </w:rPr>
      </w:pPr>
      <w:r>
        <w:rPr>
          <w:rFonts w:ascii="Verdana" w:hAnsi="Verdana"/>
        </w:rPr>
        <w:t>Adresse du site principal : Waremme : Rue Gustave Renier, 4300 Waremme</w:t>
      </w:r>
    </w:p>
    <w:p>
      <w:pPr>
        <w:pBdr>
          <w:top w:val="single" w:sz="4" w:space="1" w:color="auto"/>
          <w:left w:val="single" w:sz="4" w:space="4" w:color="auto"/>
          <w:bottom w:val="single" w:sz="4" w:space="1" w:color="auto"/>
          <w:right w:val="single" w:sz="4" w:space="4" w:color="auto"/>
        </w:pBdr>
        <w:rPr>
          <w:rFonts w:ascii="Verdana" w:hAnsi="Verdana"/>
        </w:rPr>
      </w:pPr>
      <w:r>
        <w:rPr>
          <w:rFonts w:ascii="Verdana" w:hAnsi="Verdana"/>
        </w:rPr>
        <w:t xml:space="preserve">Adresse des implantations : </w:t>
      </w:r>
    </w:p>
    <w:p>
      <w:pPr>
        <w:pBdr>
          <w:top w:val="single" w:sz="4" w:space="1" w:color="auto"/>
          <w:left w:val="single" w:sz="4" w:space="4" w:color="auto"/>
          <w:bottom w:val="single" w:sz="4" w:space="1" w:color="auto"/>
          <w:right w:val="single" w:sz="4" w:space="4" w:color="auto"/>
        </w:pBdr>
        <w:rPr>
          <w:rFonts w:ascii="Verdana" w:hAnsi="Verdana"/>
        </w:rPr>
      </w:pPr>
      <w:r>
        <w:rPr>
          <w:rFonts w:ascii="Verdana" w:hAnsi="Verdana"/>
        </w:rPr>
        <w:t>- Saint-Georges : Rue Eloi Fouarge, 31, 4470 Saint-Georges-sur-meuse</w:t>
      </w:r>
    </w:p>
    <w:p>
      <w:pPr>
        <w:pBdr>
          <w:top w:val="single" w:sz="4" w:space="1" w:color="auto"/>
          <w:left w:val="single" w:sz="4" w:space="4" w:color="auto"/>
          <w:bottom w:val="single" w:sz="4" w:space="1" w:color="auto"/>
          <w:right w:val="single" w:sz="4" w:space="4" w:color="auto"/>
        </w:pBdr>
        <w:rPr>
          <w:rFonts w:ascii="Verdana" w:hAnsi="Verdana"/>
        </w:rPr>
      </w:pPr>
      <w:r>
        <w:rPr>
          <w:rFonts w:ascii="Verdana" w:hAnsi="Verdana"/>
        </w:rPr>
        <w:t>- Ouffet : Rue Mognée, 21,4590 Ouffet</w:t>
      </w:r>
    </w:p>
    <w:p>
      <w:pPr>
        <w:pBdr>
          <w:top w:val="single" w:sz="4" w:space="1" w:color="auto"/>
          <w:left w:val="single" w:sz="4" w:space="4" w:color="auto"/>
          <w:bottom w:val="single" w:sz="4" w:space="1" w:color="auto"/>
          <w:right w:val="single" w:sz="4" w:space="4" w:color="auto"/>
        </w:pBdr>
        <w:rPr>
          <w:rFonts w:ascii="Verdana" w:hAnsi="Verdana"/>
        </w:rPr>
      </w:pPr>
      <w:r>
        <w:rPr>
          <w:rFonts w:ascii="Verdana" w:hAnsi="Verdana"/>
        </w:rPr>
        <w:t>Adresse des annexes du site principal : Av. Emile Vandervelde 33, 4300 Waremme</w:t>
      </w:r>
    </w:p>
    <w:p>
      <w:pPr>
        <w:pBdr>
          <w:top w:val="single" w:sz="4" w:space="1" w:color="auto"/>
          <w:left w:val="single" w:sz="4" w:space="4" w:color="auto"/>
          <w:bottom w:val="single" w:sz="4" w:space="1" w:color="auto"/>
          <w:right w:val="single" w:sz="4" w:space="4" w:color="auto"/>
        </w:pBdr>
        <w:rPr>
          <w:rFonts w:ascii="Verdana" w:hAnsi="Verdana"/>
        </w:rPr>
      </w:pPr>
      <w:r>
        <w:rPr>
          <w:rFonts w:ascii="Verdana" w:hAnsi="Verdana"/>
        </w:rPr>
        <w:t>Site web : https://promotion-sociale-waremme.be/</w:t>
      </w:r>
    </w:p>
    <w:p>
      <w:pPr>
        <w:pBdr>
          <w:top w:val="single" w:sz="4" w:space="1" w:color="auto"/>
          <w:left w:val="single" w:sz="4" w:space="4" w:color="auto"/>
          <w:bottom w:val="single" w:sz="4" w:space="1" w:color="auto"/>
          <w:right w:val="single" w:sz="4" w:space="4" w:color="auto"/>
        </w:pBdr>
        <w:rPr>
          <w:rFonts w:ascii="Verdana" w:hAnsi="Verdana"/>
        </w:rPr>
      </w:pPr>
      <w:r>
        <w:rPr>
          <w:rFonts w:ascii="Verdana" w:hAnsi="Verdana"/>
          <w:b/>
        </w:rPr>
        <w:t>Date présumée d’entrée en fonction</w:t>
      </w:r>
      <w:r>
        <w:rPr>
          <w:rFonts w:ascii="Verdana" w:hAnsi="Verdana"/>
        </w:rPr>
        <w:t> : 10 juillet 2024</w:t>
      </w:r>
    </w:p>
    <w:p>
      <w:pPr>
        <w:pBdr>
          <w:top w:val="single" w:sz="4" w:space="1" w:color="auto"/>
          <w:left w:val="single" w:sz="4" w:space="4" w:color="auto"/>
          <w:bottom w:val="single" w:sz="4" w:space="1" w:color="auto"/>
          <w:right w:val="single" w:sz="4" w:space="4" w:color="auto"/>
        </w:pBdr>
        <w:rPr>
          <w:rFonts w:ascii="Verdana" w:hAnsi="Verdana"/>
        </w:rPr>
      </w:pPr>
    </w:p>
    <w:p>
      <w:pPr>
        <w:pBdr>
          <w:top w:val="single" w:sz="4" w:space="1" w:color="auto"/>
          <w:left w:val="single" w:sz="4" w:space="4" w:color="auto"/>
          <w:bottom w:val="single" w:sz="4" w:space="1" w:color="auto"/>
          <w:right w:val="single" w:sz="4" w:space="4" w:color="auto"/>
        </w:pBdr>
        <w:rPr>
          <w:rFonts w:ascii="Verdana" w:hAnsi="Verdana"/>
        </w:rPr>
      </w:pPr>
    </w:p>
    <w:p>
      <w:pPr>
        <w:pBdr>
          <w:top w:val="single" w:sz="4" w:space="1" w:color="auto"/>
          <w:left w:val="single" w:sz="4" w:space="4" w:color="auto"/>
          <w:bottom w:val="single" w:sz="4" w:space="1" w:color="auto"/>
          <w:right w:val="single" w:sz="4" w:space="4" w:color="auto"/>
        </w:pBdr>
        <w:rPr>
          <w:rFonts w:ascii="Verdana" w:hAnsi="Verdana"/>
        </w:rPr>
      </w:pPr>
    </w:p>
    <w:p>
      <w:pPr>
        <w:pBdr>
          <w:top w:val="single" w:sz="4" w:space="1" w:color="000000"/>
          <w:left w:val="single" w:sz="4" w:space="0" w:color="000000"/>
          <w:bottom w:val="single" w:sz="4" w:space="1" w:color="000000"/>
          <w:right w:val="single" w:sz="4" w:space="4" w:color="000000"/>
        </w:pBdr>
        <w:rPr>
          <w:rFonts w:ascii="Verdana" w:hAnsi="Verdana"/>
        </w:rPr>
      </w:pPr>
      <w:r>
        <w:rPr>
          <w:rFonts w:ascii="Verdana" w:hAnsi="Verdana"/>
          <w:b/>
          <w:u w:val="single"/>
        </w:rPr>
        <w:lastRenderedPageBreak/>
        <w:t>Caractéristiques de l’école</w:t>
      </w:r>
      <w:r>
        <w:rPr>
          <w:rFonts w:ascii="Verdana" w:hAnsi="Verdana"/>
        </w:rPr>
        <w:t> :</w:t>
      </w:r>
    </w:p>
    <w:p>
      <w:pPr>
        <w:pBdr>
          <w:top w:val="single" w:sz="4" w:space="1" w:color="000000"/>
          <w:left w:val="single" w:sz="4" w:space="0" w:color="000000"/>
          <w:bottom w:val="single" w:sz="4" w:space="1" w:color="000000"/>
          <w:right w:val="single" w:sz="4" w:space="4" w:color="000000"/>
        </w:pBdr>
        <w:jc w:val="both"/>
        <w:rPr>
          <w:rFonts w:ascii="Verdana" w:hAnsi="Verdana"/>
        </w:rPr>
      </w:pPr>
      <w:r>
        <w:rPr>
          <w:rFonts w:ascii="Verdana" w:hAnsi="Verdana"/>
          <w:u w:val="single"/>
        </w:rPr>
        <w:t>Situation :</w:t>
      </w:r>
      <w:r>
        <w:rPr>
          <w:rFonts w:ascii="Verdana" w:hAnsi="Verdana"/>
        </w:rPr>
        <w:t xml:space="preserve"> </w:t>
      </w:r>
      <w:r>
        <w:rPr>
          <w:rFonts w:ascii="Verdana" w:hAnsi="Verdana"/>
        </w:rPr>
        <w:tab/>
      </w:r>
      <w:r>
        <w:rPr>
          <w:rFonts w:ascii="Verdana" w:hAnsi="Verdana"/>
        </w:rPr>
        <w:br/>
        <w:t>Le siège de l’EAFC Hesbaye-Condroz de Waremme se situe dans le centre de la ville de Waremme et l’annexe dans l’Ecole fondamentale se situe à 1km. Les implantations se situent à Ouffet et à Saint Georges-sur-Meuse.</w:t>
      </w:r>
    </w:p>
    <w:p>
      <w:pPr>
        <w:pBdr>
          <w:top w:val="single" w:sz="4" w:space="1" w:color="000000"/>
          <w:left w:val="single" w:sz="4" w:space="0" w:color="000000"/>
          <w:bottom w:val="single" w:sz="4" w:space="1" w:color="000000"/>
          <w:right w:val="single" w:sz="4" w:space="4" w:color="000000"/>
        </w:pBdr>
        <w:jc w:val="both"/>
        <w:rPr>
          <w:rFonts w:ascii="Verdana" w:hAnsi="Verdana"/>
        </w:rPr>
      </w:pPr>
      <w:r>
        <w:rPr>
          <w:rFonts w:ascii="Verdana" w:hAnsi="Verdana"/>
        </w:rPr>
        <w:t>L’implantation de Waremme ainsi que son annexe occupent les locaux de l’AR de Waremme et de son école fondamentale.</w:t>
      </w:r>
    </w:p>
    <w:p>
      <w:pPr>
        <w:pBdr>
          <w:top w:val="single" w:sz="4" w:space="1" w:color="000000"/>
          <w:left w:val="single" w:sz="4" w:space="0" w:color="000000"/>
          <w:bottom w:val="single" w:sz="4" w:space="1" w:color="000000"/>
          <w:right w:val="single" w:sz="4" w:space="4" w:color="000000"/>
        </w:pBdr>
        <w:jc w:val="both"/>
        <w:rPr>
          <w:rFonts w:ascii="Verdana" w:hAnsi="Verdana"/>
        </w:rPr>
      </w:pPr>
      <w:r>
        <w:rPr>
          <w:rFonts w:ascii="Verdana" w:hAnsi="Verdana"/>
        </w:rPr>
        <w:t>La ville est desservie par tous les transports en commun et située près des axes autoroutiers ce qui confère à l’établissement un accès aisé pour les apprenants.</w:t>
      </w:r>
    </w:p>
    <w:p>
      <w:pPr>
        <w:pBdr>
          <w:top w:val="single" w:sz="4" w:space="1" w:color="000000"/>
          <w:left w:val="single" w:sz="4" w:space="0" w:color="000000"/>
          <w:bottom w:val="single" w:sz="4" w:space="1" w:color="000000"/>
          <w:right w:val="single" w:sz="4" w:space="4" w:color="000000"/>
        </w:pBdr>
        <w:jc w:val="both"/>
        <w:rPr>
          <w:rFonts w:ascii="Verdana" w:hAnsi="Verdana"/>
        </w:rPr>
      </w:pPr>
      <w:r>
        <w:rPr>
          <w:rFonts w:ascii="Verdana" w:hAnsi="Verdana"/>
        </w:rPr>
        <w:t xml:space="preserve">Les implantations Saint-Georges et Ouffet sont situées dans un milieu plutôt rural, mal desservi par les transports en commun et sont de ce fait fréquentées par une population plus locale. </w:t>
      </w:r>
    </w:p>
    <w:p>
      <w:pPr>
        <w:pBdr>
          <w:top w:val="single" w:sz="4" w:space="1" w:color="000000"/>
          <w:left w:val="single" w:sz="4" w:space="0" w:color="000000"/>
          <w:bottom w:val="single" w:sz="4" w:space="1" w:color="000000"/>
          <w:right w:val="single" w:sz="4" w:space="4" w:color="000000"/>
        </w:pBdr>
        <w:jc w:val="both"/>
        <w:rPr>
          <w:rFonts w:ascii="Verdana" w:hAnsi="Verdana"/>
        </w:rPr>
      </w:pPr>
    </w:p>
    <w:p>
      <w:pPr>
        <w:pBdr>
          <w:top w:val="single" w:sz="4" w:space="1" w:color="000000"/>
          <w:left w:val="single" w:sz="4" w:space="0" w:color="000000"/>
          <w:bottom w:val="single" w:sz="4" w:space="1" w:color="000000"/>
          <w:right w:val="single" w:sz="4" w:space="4" w:color="000000"/>
        </w:pBdr>
        <w:spacing w:after="0"/>
        <w:jc w:val="both"/>
        <w:rPr>
          <w:rFonts w:ascii="Verdana" w:hAnsi="Verdana"/>
        </w:rPr>
      </w:pPr>
      <w:r>
        <w:rPr>
          <w:rFonts w:ascii="Verdana" w:hAnsi="Verdana"/>
          <w:u w:val="single"/>
        </w:rPr>
        <w:t>Offre d’enseignement :</w:t>
      </w:r>
      <w:r>
        <w:rPr>
          <w:rFonts w:ascii="Verdana" w:hAnsi="Verdana"/>
        </w:rPr>
        <w:tab/>
      </w:r>
    </w:p>
    <w:p>
      <w:pPr>
        <w:pBdr>
          <w:top w:val="single" w:sz="4" w:space="1" w:color="000000"/>
          <w:left w:val="single" w:sz="4" w:space="0" w:color="000000"/>
          <w:bottom w:val="single" w:sz="4" w:space="1" w:color="000000"/>
          <w:right w:val="single" w:sz="4" w:space="4" w:color="000000"/>
        </w:pBdr>
        <w:jc w:val="both"/>
        <w:rPr>
          <w:rFonts w:ascii="Verdana" w:hAnsi="Verdana"/>
        </w:rPr>
      </w:pPr>
      <w:r>
        <w:rPr>
          <w:rFonts w:ascii="Verdana" w:hAnsi="Verdana"/>
        </w:rPr>
        <w:t>- Sur l’implantation de Waremme :</w:t>
      </w:r>
    </w:p>
    <w:p>
      <w:pPr>
        <w:pBdr>
          <w:top w:val="single" w:sz="4" w:space="1" w:color="000000"/>
          <w:left w:val="single" w:sz="4" w:space="0" w:color="000000"/>
          <w:bottom w:val="single" w:sz="4" w:space="1" w:color="000000"/>
          <w:right w:val="single" w:sz="4" w:space="4" w:color="000000"/>
        </w:pBdr>
        <w:jc w:val="both"/>
        <w:rPr>
          <w:rFonts w:ascii="Verdana" w:hAnsi="Verdana"/>
        </w:rPr>
      </w:pPr>
      <w:r>
        <w:rPr>
          <w:rFonts w:ascii="Verdana" w:hAnsi="Verdana"/>
        </w:rPr>
        <w:t>Un bachelier en comptabilité est en fin d’organisation. Deux formations certificatives sont organisées sur le site, le secrétariat médical et les cours de Connaissances de gestion de niveau secondaire supérieur. Des cours de langue anglaise, néerlandaise et espagnole de UE1 à UE6 de niveau secondaire inférieur et supérieur ainsi que des cours de langue des signes de UE1 à UE5 sont dispensés. Ces UE ne sont pas certificatives. Des UE d’informatique, de photographie, d’œnologie, de bièrologie et de sophrologie de niveau secondaire supérieur sont organisées en fonction des années et ne sont pas certificatives. Des UE de Fle UE1 de niveau secondaire inférieur sont également organisées sur ce site.</w:t>
      </w:r>
    </w:p>
    <w:p>
      <w:pPr>
        <w:pBdr>
          <w:top w:val="single" w:sz="4" w:space="1" w:color="000000"/>
          <w:left w:val="single" w:sz="4" w:space="0" w:color="000000"/>
          <w:bottom w:val="single" w:sz="4" w:space="1" w:color="000000"/>
          <w:right w:val="single" w:sz="4" w:space="4" w:color="000000"/>
        </w:pBdr>
        <w:jc w:val="both"/>
        <w:rPr>
          <w:rFonts w:ascii="Verdana" w:hAnsi="Verdana"/>
        </w:rPr>
      </w:pPr>
      <w:r>
        <w:rPr>
          <w:rFonts w:ascii="Verdana" w:hAnsi="Verdana"/>
        </w:rPr>
        <w:t>- Sur l’implantation de Saint-Georges-sur-Meuse :</w:t>
      </w:r>
    </w:p>
    <w:p>
      <w:pPr>
        <w:pBdr>
          <w:top w:val="single" w:sz="4" w:space="1" w:color="000000"/>
          <w:left w:val="single" w:sz="4" w:space="0" w:color="000000"/>
          <w:bottom w:val="single" w:sz="4" w:space="1" w:color="000000"/>
          <w:right w:val="single" w:sz="4" w:space="4" w:color="000000"/>
        </w:pBdr>
        <w:jc w:val="both"/>
        <w:rPr>
          <w:rFonts w:ascii="Verdana" w:hAnsi="Verdana"/>
        </w:rPr>
      </w:pPr>
      <w:r>
        <w:rPr>
          <w:rFonts w:ascii="Verdana" w:hAnsi="Verdana"/>
        </w:rPr>
        <w:t>Le certificat d’aptitude pédagogique et l’orthopédagogie de niveau supérieur de type court sont organisés. 4 formations certificatives sont organisées sur le site, les cours de  Connaissance de gestion, d’auxiliaire à l’enfance, d’aide-soignant(e) et d’aide-familal(e) de niveau secondaire supérieur. Des cours de langue anglaise et d’italien de UE1 à UE6 de niveau secondaire inférieur et supérieur, non certificatifs sont également dispensés. Des UE de menuiserie, de cuisine et d’habillement de niveau secondaire inférieur et supérieur sont organisées en fonction des années et ne sont pas certificatives. Des UE de Méthode de travail, de remédiation en mathématique et de permis de conduire de niveau secondaire supérieur et non certificatives sont également prévues.</w:t>
      </w:r>
    </w:p>
    <w:p>
      <w:pPr>
        <w:pBdr>
          <w:top w:val="single" w:sz="4" w:space="1" w:color="000000"/>
          <w:left w:val="single" w:sz="4" w:space="0" w:color="000000"/>
          <w:bottom w:val="single" w:sz="4" w:space="1" w:color="000000"/>
          <w:right w:val="single" w:sz="4" w:space="4" w:color="000000"/>
        </w:pBdr>
        <w:jc w:val="both"/>
        <w:rPr>
          <w:rFonts w:ascii="Verdana" w:hAnsi="Verdana"/>
        </w:rPr>
      </w:pPr>
      <w:r>
        <w:rPr>
          <w:rFonts w:ascii="Verdana" w:hAnsi="Verdana"/>
        </w:rPr>
        <w:t>- Sur l’implantation de Ouffet :</w:t>
      </w:r>
    </w:p>
    <w:p>
      <w:pPr>
        <w:pBdr>
          <w:top w:val="single" w:sz="4" w:space="1" w:color="000000"/>
          <w:left w:val="single" w:sz="4" w:space="0" w:color="000000"/>
          <w:bottom w:val="single" w:sz="4" w:space="1" w:color="000000"/>
          <w:right w:val="single" w:sz="4" w:space="4" w:color="000000"/>
        </w:pBdr>
        <w:jc w:val="both"/>
        <w:rPr>
          <w:rFonts w:ascii="Verdana" w:hAnsi="Verdana"/>
        </w:rPr>
      </w:pPr>
      <w:r>
        <w:rPr>
          <w:rFonts w:ascii="Verdana" w:hAnsi="Verdana"/>
        </w:rPr>
        <w:t>Des UE de mécanique et de carrosserie sont organisées en fonction des années. Il s’agit d’un niveau secondaire inférieur et ces formations ne sont pas certificatives.</w:t>
      </w:r>
    </w:p>
    <w:p>
      <w:pPr>
        <w:pBdr>
          <w:top w:val="single" w:sz="4" w:space="1" w:color="000000"/>
          <w:left w:val="single" w:sz="4" w:space="0" w:color="000000"/>
          <w:bottom w:val="single" w:sz="4" w:space="1" w:color="000000"/>
          <w:right w:val="single" w:sz="4" w:space="4" w:color="000000"/>
        </w:pBdr>
        <w:jc w:val="both"/>
        <w:rPr>
          <w:rFonts w:ascii="Verdana" w:hAnsi="Verdana"/>
        </w:rPr>
      </w:pPr>
      <w:r>
        <w:rPr>
          <w:rFonts w:ascii="Verdana" w:hAnsi="Verdana"/>
          <w:u w:val="single"/>
        </w:rPr>
        <w:lastRenderedPageBreak/>
        <w:t>Encadrement :</w:t>
      </w:r>
      <w:r>
        <w:rPr>
          <w:rFonts w:ascii="Verdana" w:hAnsi="Verdana"/>
        </w:rPr>
        <w:t xml:space="preserve"> </w:t>
      </w:r>
      <w:r>
        <w:rPr>
          <w:rFonts w:ascii="Verdana" w:hAnsi="Verdana"/>
        </w:rPr>
        <w:tab/>
      </w:r>
    </w:p>
    <w:p>
      <w:pPr>
        <w:pBdr>
          <w:top w:val="single" w:sz="4" w:space="1" w:color="000000"/>
          <w:left w:val="single" w:sz="4" w:space="0" w:color="000000"/>
          <w:bottom w:val="single" w:sz="4" w:space="1" w:color="000000"/>
          <w:right w:val="single" w:sz="4" w:space="4" w:color="000000"/>
        </w:pBdr>
        <w:jc w:val="both"/>
        <w:rPr>
          <w:rFonts w:ascii="Verdana" w:hAnsi="Verdana"/>
        </w:rPr>
      </w:pPr>
      <w:r>
        <w:rPr>
          <w:rFonts w:ascii="Verdana" w:hAnsi="Verdana"/>
        </w:rPr>
        <w:t>Le staff se compose d’une directrice, d’une directrice-adjointe, d’un économe, d’une éducatrice-secrétaire, d’un temps plein et demi d’éducateur/secrétaire, d’un agent personnel ouvrier à quart temps, d’un conseiller en prévention pour 160 périodes et d’un référent inclusion pour 80 périodes.</w:t>
      </w:r>
    </w:p>
    <w:p>
      <w:pPr>
        <w:pBdr>
          <w:top w:val="single" w:sz="4" w:space="1" w:color="000000"/>
          <w:left w:val="single" w:sz="4" w:space="0" w:color="000000"/>
          <w:bottom w:val="single" w:sz="4" w:space="1" w:color="000000"/>
          <w:right w:val="single" w:sz="4" w:space="4" w:color="000000"/>
        </w:pBdr>
        <w:jc w:val="both"/>
        <w:rPr>
          <w:rFonts w:ascii="Verdana" w:hAnsi="Verdana"/>
        </w:rPr>
      </w:pPr>
      <w:r>
        <w:rPr>
          <w:rFonts w:ascii="Verdana" w:hAnsi="Verdana"/>
          <w:u w:val="single"/>
        </w:rPr>
        <w:t>Infrastructure de l’établissement</w:t>
      </w:r>
      <w:r>
        <w:rPr>
          <w:rFonts w:ascii="Verdana" w:hAnsi="Verdana"/>
        </w:rPr>
        <w:t> :</w:t>
      </w:r>
      <w:r>
        <w:rPr>
          <w:rFonts w:ascii="Verdana" w:hAnsi="Verdana"/>
        </w:rPr>
        <w:tab/>
      </w:r>
    </w:p>
    <w:p>
      <w:pPr>
        <w:pBdr>
          <w:top w:val="single" w:sz="4" w:space="1" w:color="000000"/>
          <w:left w:val="single" w:sz="4" w:space="0" w:color="000000"/>
          <w:bottom w:val="single" w:sz="4" w:space="1" w:color="000000"/>
          <w:right w:val="single" w:sz="4" w:space="4" w:color="000000"/>
        </w:pBdr>
        <w:jc w:val="both"/>
        <w:rPr>
          <w:rFonts w:ascii="Verdana" w:hAnsi="Verdana"/>
        </w:rPr>
      </w:pPr>
      <w:r>
        <w:rPr>
          <w:rFonts w:ascii="Verdana" w:hAnsi="Verdana"/>
        </w:rPr>
        <w:t>Les bâtiments du site principal de Waremme sont en bon état.</w:t>
      </w:r>
    </w:p>
    <w:p>
      <w:pPr>
        <w:pBdr>
          <w:top w:val="single" w:sz="4" w:space="1" w:color="000000"/>
          <w:left w:val="single" w:sz="4" w:space="0" w:color="000000"/>
          <w:bottom w:val="single" w:sz="4" w:space="1" w:color="000000"/>
          <w:right w:val="single" w:sz="4" w:space="4" w:color="000000"/>
        </w:pBdr>
        <w:jc w:val="both"/>
        <w:rPr>
          <w:rFonts w:ascii="Verdana" w:hAnsi="Verdana"/>
        </w:rPr>
      </w:pPr>
      <w:r>
        <w:rPr>
          <w:rFonts w:ascii="Verdana" w:hAnsi="Verdana"/>
        </w:rPr>
        <w:t>L’implantation de Saint-Georges se trouve sur le site de l’AR AGRI dans un bâtiment en bon état. Une annexe de l’enseignement fondamental dans un bâtiment RTG des années 60 fait partie des projets déposés dans le cadre du PIE (Plan d’investissement exceptionnel). Cela implique des réunions régulières avec les services de la DRI (Direction régionale de l’infrastructure) de Liège.</w:t>
      </w:r>
    </w:p>
    <w:p>
      <w:pPr>
        <w:pBdr>
          <w:top w:val="single" w:sz="4" w:space="1" w:color="000000"/>
          <w:left w:val="single" w:sz="4" w:space="0" w:color="000000"/>
          <w:bottom w:val="single" w:sz="4" w:space="1" w:color="000000"/>
          <w:right w:val="single" w:sz="4" w:space="4" w:color="000000"/>
        </w:pBdr>
        <w:jc w:val="both"/>
        <w:rPr>
          <w:rFonts w:ascii="Verdana" w:hAnsi="Verdana"/>
        </w:rPr>
      </w:pPr>
      <w:r>
        <w:rPr>
          <w:rFonts w:ascii="Verdana" w:hAnsi="Verdana"/>
          <w:u w:val="single"/>
        </w:rPr>
        <w:t>Population scolaire</w:t>
      </w:r>
      <w:r>
        <w:rPr>
          <w:rFonts w:ascii="Verdana" w:hAnsi="Verdana"/>
        </w:rPr>
        <w:t>.</w:t>
      </w:r>
      <w:r>
        <w:rPr>
          <w:rFonts w:ascii="Verdana" w:hAnsi="Verdana"/>
        </w:rPr>
        <w:tab/>
      </w:r>
    </w:p>
    <w:p>
      <w:pPr>
        <w:pBdr>
          <w:top w:val="single" w:sz="4" w:space="1" w:color="000000"/>
          <w:left w:val="single" w:sz="4" w:space="0" w:color="000000"/>
          <w:bottom w:val="single" w:sz="4" w:space="1" w:color="000000"/>
          <w:right w:val="single" w:sz="4" w:space="4" w:color="000000"/>
        </w:pBdr>
        <w:jc w:val="both"/>
        <w:rPr>
          <w:rFonts w:ascii="Verdana" w:hAnsi="Verdana"/>
        </w:rPr>
      </w:pPr>
      <w:r>
        <w:rPr>
          <w:rFonts w:ascii="Verdana" w:hAnsi="Verdana"/>
        </w:rPr>
        <w:t>Cette année 1025 apprenants ont été inscrits à l’établissement tous sites confondus. Seuls 20% des apprenants sont exonérés de droits d’inscription.</w:t>
      </w:r>
    </w:p>
    <w:p>
      <w:pPr>
        <w:pBdr>
          <w:top w:val="single" w:sz="4" w:space="1" w:color="000000"/>
          <w:left w:val="single" w:sz="4" w:space="0" w:color="000000"/>
          <w:bottom w:val="single" w:sz="4" w:space="1" w:color="000000"/>
          <w:right w:val="single" w:sz="4" w:space="4" w:color="000000"/>
        </w:pBdr>
        <w:jc w:val="both"/>
        <w:rPr>
          <w:rFonts w:ascii="Verdana" w:hAnsi="Verdana"/>
        </w:rPr>
      </w:pPr>
      <w:r>
        <w:rPr>
          <w:rFonts w:ascii="Verdana" w:hAnsi="Verdana"/>
          <w:u w:val="single"/>
        </w:rPr>
        <w:t>Caractéristiques pédagogiques</w:t>
      </w:r>
      <w:r>
        <w:rPr>
          <w:rFonts w:ascii="Verdana" w:hAnsi="Verdana"/>
        </w:rPr>
        <w:t xml:space="preserve">. </w:t>
      </w:r>
    </w:p>
    <w:p>
      <w:pPr>
        <w:pBdr>
          <w:top w:val="single" w:sz="4" w:space="1" w:color="000000"/>
          <w:left w:val="single" w:sz="4" w:space="0" w:color="000000"/>
          <w:bottom w:val="single" w:sz="4" w:space="1" w:color="000000"/>
          <w:right w:val="single" w:sz="4" w:space="4" w:color="000000"/>
        </w:pBdr>
        <w:jc w:val="both"/>
        <w:rPr>
          <w:rFonts w:ascii="Verdana" w:hAnsi="Verdana"/>
        </w:rPr>
      </w:pPr>
      <w:r>
        <w:rPr>
          <w:rFonts w:ascii="Verdana" w:hAnsi="Verdana"/>
        </w:rPr>
        <w:t>De manière générale, les apprenants vont au bout de leur cursus. Le pourcentage d’abandon est peu élevé (15%).</w:t>
      </w:r>
    </w:p>
    <w:p>
      <w:pPr>
        <w:pBdr>
          <w:top w:val="single" w:sz="4" w:space="1" w:color="000000"/>
          <w:left w:val="single" w:sz="4" w:space="0" w:color="000000"/>
          <w:bottom w:val="single" w:sz="4" w:space="1" w:color="000000"/>
          <w:right w:val="single" w:sz="4" w:space="4" w:color="000000"/>
        </w:pBdr>
        <w:jc w:val="both"/>
        <w:rPr>
          <w:rFonts w:ascii="Verdana" w:hAnsi="Verdana"/>
        </w:rPr>
      </w:pPr>
      <w:r>
        <w:rPr>
          <w:rFonts w:ascii="Verdana" w:hAnsi="Verdana"/>
        </w:rPr>
        <w:t>Le plan stratégique a été rédigé pour 2022-2027 et les grandes lignes de ce dernier sont : l’accroissement de la visibilité de l’établissement et l’amélioration des pratiques pédagogiques pour tendre vers plus d’innovation et d’adaptation au public d’aujourd’hui et ce, en incitant les professeurs à suivre des formations et en mettant le matériel adéquat à disposition.</w:t>
      </w:r>
    </w:p>
    <w:p>
      <w:pPr>
        <w:pBdr>
          <w:top w:val="single" w:sz="4" w:space="1" w:color="000000"/>
          <w:left w:val="single" w:sz="4" w:space="0" w:color="000000"/>
          <w:bottom w:val="single" w:sz="4" w:space="1" w:color="000000"/>
          <w:right w:val="single" w:sz="4" w:space="4" w:color="000000"/>
        </w:pBdr>
        <w:jc w:val="both"/>
        <w:rPr>
          <w:rFonts w:ascii="Verdana" w:hAnsi="Verdana"/>
          <w:u w:val="single"/>
        </w:rPr>
      </w:pPr>
      <w:r>
        <w:rPr>
          <w:rFonts w:ascii="Verdana" w:hAnsi="Verdana"/>
          <w:u w:val="single"/>
        </w:rPr>
        <w:t>Éléments d’attractivité.</w:t>
      </w:r>
    </w:p>
    <w:p>
      <w:pPr>
        <w:pBdr>
          <w:top w:val="single" w:sz="4" w:space="1" w:color="000000"/>
          <w:left w:val="single" w:sz="4" w:space="0" w:color="000000"/>
          <w:bottom w:val="single" w:sz="4" w:space="1" w:color="000000"/>
          <w:right w:val="single" w:sz="4" w:space="4" w:color="000000"/>
        </w:pBdr>
        <w:jc w:val="both"/>
        <w:rPr>
          <w:rFonts w:ascii="Verdana" w:hAnsi="Verdana"/>
        </w:rPr>
      </w:pPr>
      <w:r>
        <w:rPr>
          <w:rFonts w:ascii="Verdana" w:hAnsi="Verdana"/>
        </w:rPr>
        <w:t>L’établissement, tout en étant de taille moyenne garde un caractère familial où tous les étudiants sont pris en charge avec attention. L’équipe pédagogique est investie et fournit un enseignement performant tant dans les méthodes pédagogiques utilisées que dans leur expertise apportée dans le cadre de leur fonction connexe à l’enseignement.</w:t>
      </w:r>
    </w:p>
    <w:p>
      <w:pPr>
        <w:pBdr>
          <w:top w:val="single" w:sz="4" w:space="1" w:color="auto"/>
          <w:left w:val="single" w:sz="4" w:space="4" w:color="auto"/>
          <w:bottom w:val="single" w:sz="4" w:space="1" w:color="auto"/>
          <w:right w:val="single" w:sz="4" w:space="4" w:color="auto"/>
        </w:pBdr>
        <w:rPr>
          <w:rFonts w:ascii="Verdana" w:hAnsi="Verdana" w:cs="Arial"/>
          <w:b/>
          <w:bCs/>
          <w:color w:val="000000" w:themeColor="text1"/>
          <w:u w:val="double"/>
        </w:rPr>
      </w:pPr>
      <w:r>
        <w:rPr>
          <w:rFonts w:ascii="Verdana" w:hAnsi="Verdana" w:cs="Arial"/>
          <w:b/>
          <w:bCs/>
          <w:color w:val="000000" w:themeColor="text1"/>
          <w:u w:val="double"/>
        </w:rPr>
        <w:t>Nature de l’emploi :</w:t>
      </w:r>
    </w:p>
    <w:p>
      <w:pPr>
        <w:pBdr>
          <w:top w:val="single" w:sz="4" w:space="1" w:color="auto"/>
          <w:left w:val="single" w:sz="4" w:space="4" w:color="auto"/>
          <w:bottom w:val="single" w:sz="4" w:space="1" w:color="auto"/>
          <w:right w:val="single" w:sz="4" w:space="4" w:color="auto"/>
        </w:pBdr>
        <w:rPr>
          <w:rFonts w:ascii="Verdana" w:hAnsi="Verdana"/>
        </w:rPr>
      </w:pPr>
      <w:r>
        <w:rPr>
          <w:rFonts w:ascii="Verdana" w:hAnsi="Verdana"/>
        </w:rPr>
        <w:t>O emploi définitivement vacant ;</w:t>
      </w:r>
    </w:p>
    <w:p>
      <w:pPr>
        <w:pBdr>
          <w:top w:val="single" w:sz="4" w:space="0" w:color="auto"/>
          <w:left w:val="single" w:sz="4" w:space="4" w:color="auto"/>
          <w:bottom w:val="single" w:sz="4" w:space="0" w:color="auto"/>
          <w:right w:val="single" w:sz="4" w:space="4" w:color="auto"/>
        </w:pBdr>
        <w:rPr>
          <w:rFonts w:ascii="Verdana" w:hAnsi="Verdana"/>
        </w:rPr>
      </w:pPr>
      <w:r>
        <w:rPr>
          <w:rFonts w:ascii="Verdana" w:hAnsi="Verdana"/>
          <w:b/>
          <w:u w:val="single"/>
        </w:rPr>
        <w:t>Coordonnées de la personne-contact</w:t>
      </w:r>
      <w:r>
        <w:rPr>
          <w:rFonts w:ascii="Verdana" w:hAnsi="Verdana"/>
        </w:rPr>
        <w:t xml:space="preserve"> auprès de laquelle des renseignements complémentaires peuvent être obtenus :</w:t>
      </w:r>
    </w:p>
    <w:p>
      <w:pPr>
        <w:pBdr>
          <w:top w:val="single" w:sz="4" w:space="0" w:color="auto"/>
          <w:left w:val="single" w:sz="4" w:space="4" w:color="auto"/>
          <w:bottom w:val="single" w:sz="4" w:space="0" w:color="auto"/>
          <w:right w:val="single" w:sz="4" w:space="4" w:color="auto"/>
        </w:pBdr>
        <w:rPr>
          <w:rFonts w:ascii="Verdana" w:hAnsi="Verdana"/>
        </w:rPr>
      </w:pPr>
      <w:r>
        <w:rPr>
          <w:rFonts w:ascii="Verdana" w:hAnsi="Verdana"/>
        </w:rPr>
        <w:t>MARTORANA Lina – Directrice Coordinatrice – 0479/ 62 83 18 – lina.martorana(at)cfwb.be</w:t>
      </w:r>
    </w:p>
    <w:p>
      <w:pPr>
        <w:pBdr>
          <w:top w:val="single" w:sz="4" w:space="1" w:color="auto"/>
          <w:left w:val="single" w:sz="4" w:space="4" w:color="auto"/>
          <w:bottom w:val="single" w:sz="4" w:space="1" w:color="auto"/>
          <w:right w:val="single" w:sz="4" w:space="4" w:color="auto"/>
        </w:pBdr>
        <w:jc w:val="both"/>
        <w:rPr>
          <w:rFonts w:ascii="Verdana" w:hAnsi="Verdana" w:cs="Arial"/>
          <w:b/>
          <w:color w:val="000000" w:themeColor="text1"/>
          <w:u w:val="single"/>
        </w:rPr>
      </w:pPr>
      <w:r>
        <w:rPr>
          <w:rFonts w:ascii="Verdana" w:hAnsi="Verdana" w:cs="Arial"/>
          <w:b/>
          <w:color w:val="000000" w:themeColor="text1"/>
          <w:u w:val="single"/>
        </w:rPr>
        <w:lastRenderedPageBreak/>
        <w:t>Destinataire de l’appel :</w:t>
      </w:r>
    </w:p>
    <w:p>
      <w:pPr>
        <w:pBdr>
          <w:top w:val="single" w:sz="4" w:space="1" w:color="auto"/>
          <w:left w:val="single" w:sz="4" w:space="4" w:color="auto"/>
          <w:bottom w:val="single" w:sz="4" w:space="1" w:color="auto"/>
          <w:right w:val="single" w:sz="4" w:space="4" w:color="auto"/>
        </w:pBdr>
        <w:jc w:val="both"/>
        <w:rPr>
          <w:rFonts w:ascii="Verdana" w:hAnsi="Verdana" w:cs="Arial"/>
          <w:color w:val="000000" w:themeColor="text1"/>
        </w:rPr>
      </w:pPr>
      <w:r>
        <w:rPr>
          <w:rFonts w:ascii="Verdana" w:hAnsi="Verdana"/>
        </w:rPr>
        <w:t>O</w:t>
      </w:r>
      <w:r>
        <w:rPr>
          <w:rFonts w:ascii="Verdana" w:hAnsi="Verdana" w:cs="Arial"/>
          <w:color w:val="000000" w:themeColor="text1"/>
        </w:rPr>
        <w:t xml:space="preserve"> </w:t>
      </w:r>
      <w:r>
        <w:rPr>
          <w:rFonts w:ascii="Verdana" w:hAnsi="Verdana" w:cs="Arial"/>
          <w:bCs/>
          <w:color w:val="000000" w:themeColor="text1"/>
        </w:rPr>
        <w:t>Toute personne répondant aux conditions d'accès à la fonction.</w:t>
      </w:r>
    </w:p>
    <w:p>
      <w:pPr>
        <w:pBdr>
          <w:top w:val="single" w:sz="4" w:space="1" w:color="000000"/>
          <w:left w:val="single" w:sz="4" w:space="4" w:color="000000"/>
          <w:bottom w:val="single" w:sz="4" w:space="1" w:color="000000"/>
          <w:right w:val="single" w:sz="4" w:space="4" w:color="000000"/>
        </w:pBdr>
        <w:jc w:val="both"/>
        <w:rPr>
          <w:rFonts w:ascii="Verdana" w:hAnsi="Verdana"/>
          <w:b/>
          <w:u w:val="single"/>
        </w:rPr>
      </w:pPr>
      <w:r>
        <w:rPr>
          <w:rFonts w:ascii="Verdana" w:hAnsi="Verdana"/>
          <w:b/>
          <w:u w:val="single"/>
        </w:rPr>
        <w:t>Modalités pour postuler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xml:space="preserve">Le dossier de candidature doit être envoyé, au plus tard le </w:t>
      </w:r>
      <w:r>
        <w:rPr>
          <w:rFonts w:ascii="Verdana" w:hAnsi="Verdana"/>
          <w:b/>
        </w:rPr>
        <w:t>2 avril 2024 à 23h59</w:t>
      </w:r>
      <w:r>
        <w:rPr>
          <w:rFonts w:ascii="Verdana" w:hAnsi="Verdana"/>
        </w:rPr>
        <w:t xml:space="preserve">. Celui-ci </w:t>
      </w:r>
      <w:r>
        <w:rPr>
          <w:rFonts w:ascii="Verdana" w:hAnsi="Verdana"/>
          <w:b/>
          <w:u w:val="single"/>
        </w:rPr>
        <w:t>doit être envoyé par voie électronique</w:t>
      </w:r>
      <w:r>
        <w:rPr>
          <w:rFonts w:ascii="Verdana" w:hAnsi="Verdana"/>
        </w:rPr>
        <w:t xml:space="preserve"> au destinataire : selection.promotion(at)w-b-e.be</w:t>
      </w:r>
      <w:r>
        <w:rPr>
          <w:rFonts w:ascii="Verdana" w:hAnsi="Verdana"/>
        </w:rPr>
        <w:tab/>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Objet : WBE DIR 2024 R091</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Un accusé de réception sera envoyé pour tout dossier transmis par voie électronique. Le candidat s’assurera de la bonne réception de son dossier.</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xml:space="preserve">Il est toutefois possible de transmettre le dossier de candidature par recommandé ou de le déposer contre avis de réception à :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Wallonie-Bruxelles Enseignement. Boulevard du Jardin Botanique 20-22 à 1000 Bruxelles.</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Direction des ressources humaines : Service sélection et promotion de l’enseignement. Bureau 2G23.</w:t>
      </w:r>
      <w:r>
        <w:rPr>
          <w:rFonts w:ascii="Verdana" w:hAnsi="Verdana"/>
        </w:rPr>
        <w:tab/>
      </w:r>
    </w:p>
    <w:p>
      <w:pPr>
        <w:pBdr>
          <w:top w:val="single" w:sz="4" w:space="1" w:color="000000"/>
          <w:left w:val="single" w:sz="4" w:space="4" w:color="000000"/>
          <w:bottom w:val="single" w:sz="4" w:space="1" w:color="000000"/>
          <w:right w:val="single" w:sz="4" w:space="4" w:color="000000"/>
        </w:pBdr>
        <w:jc w:val="both"/>
        <w:rPr>
          <w:rFonts w:ascii="Verdana" w:hAnsi="Verdana"/>
          <w:b/>
        </w:rPr>
      </w:pPr>
      <w:r>
        <w:rPr>
          <w:rFonts w:ascii="Verdana" w:hAnsi="Verdana"/>
          <w:b/>
        </w:rPr>
        <w:t>L’envoi par recommandé ou le dépôt contre avis n’exclut pas l’envoi par voie électronique.</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xml:space="preserve">Le dossier de candidature comportera :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Un curriculum vitae rédigé en français et actualisé indiquant précisément les dates d’exercice des postes.</w:t>
      </w:r>
      <w:r>
        <w:rPr>
          <w:rFonts w:ascii="Verdana" w:hAnsi="Verdana"/>
        </w:rPr>
        <w:br/>
        <w:t>- Un formulaire de candidature complété pour  la fonction à pourvoir (annexe 3).</w:t>
      </w:r>
      <w:r>
        <w:rPr>
          <w:rFonts w:ascii="Verdana" w:hAnsi="Verdana"/>
        </w:rPr>
        <w:br/>
        <w:t>- Une copie du (ou des) diplôme(s) requis</w:t>
      </w:r>
      <w:r>
        <w:rPr>
          <w:rFonts w:ascii="Verdana" w:hAnsi="Verdana"/>
        </w:rPr>
        <w:br/>
        <w:t xml:space="preserve">- Un extrait de casier judiciaire 596.2 vierge daté de 3 mois maximum à partir de la publication de l’appel à candidatures.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xml:space="preserve">Le cas échéant, une copie des attestations de réussite obtenues dans le cadre de la formation initiale des Directeur/Directrice sera jointe au dossier de candidature.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b/>
        </w:rPr>
        <w:t>Attention</w:t>
      </w:r>
      <w:r>
        <w:rPr>
          <w:rFonts w:ascii="Verdana" w:hAnsi="Verdana"/>
        </w:rPr>
        <w:t xml:space="preserve">, </w:t>
      </w:r>
      <w:r>
        <w:rPr>
          <w:rFonts w:ascii="Verdana" w:hAnsi="Verdana"/>
          <w:u w:val="single"/>
        </w:rPr>
        <w:t>les dossiers de candidature incomplets ou ne répondant pas aux exigences ne pourront pas être considérés comme recevables pour la suite de la procédure de sélection et de promotion.</w:t>
      </w:r>
    </w:p>
    <w:p>
      <w:pPr>
        <w:pBdr>
          <w:top w:val="single" w:sz="4" w:space="1" w:color="000000"/>
          <w:left w:val="single" w:sz="4" w:space="4" w:color="000000"/>
          <w:bottom w:val="single" w:sz="4" w:space="1" w:color="000000"/>
          <w:right w:val="single" w:sz="4" w:space="4" w:color="000000"/>
        </w:pBdr>
        <w:jc w:val="both"/>
        <w:rPr>
          <w:rFonts w:ascii="Verdana" w:hAnsi="Verdana"/>
          <w:b/>
          <w:u w:val="single"/>
        </w:rPr>
      </w:pPr>
      <w:r>
        <w:rPr>
          <w:rFonts w:ascii="Verdana" w:hAnsi="Verdana"/>
          <w:b/>
          <w:u w:val="single"/>
        </w:rPr>
        <w:t>Annexes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Annexe 1 : Conditions d’accès à la fonction.</w:t>
      </w:r>
      <w:r>
        <w:rPr>
          <w:rFonts w:ascii="Verdana" w:hAnsi="Verdana"/>
        </w:rPr>
        <w:tab/>
      </w:r>
      <w:r>
        <w:rPr>
          <w:rFonts w:ascii="Verdana" w:hAnsi="Verdana"/>
        </w:rPr>
        <w:br/>
        <w:t>- Annexe 2 : Profil de fonction établi par le Pouvoir organisateur.</w:t>
      </w:r>
      <w:r>
        <w:rPr>
          <w:rFonts w:ascii="Verdana" w:hAnsi="Verdana"/>
        </w:rPr>
        <w:tab/>
        <w:t xml:space="preserve"> </w:t>
      </w:r>
      <w:r>
        <w:rPr>
          <w:rFonts w:ascii="Verdana" w:hAnsi="Verdana"/>
        </w:rPr>
        <w:br/>
        <w:t>- Annexe 3 : Formulaire de candidatures (disponible en version électronique sur notre site internet :</w:t>
      </w:r>
      <w:r>
        <w:t xml:space="preserve"> </w:t>
      </w:r>
      <w:hyperlink r:id="rId10" w:history="1">
        <w:r>
          <w:rPr>
            <w:rStyle w:val="Lienhypertexte"/>
          </w:rPr>
          <w:t>https://www.wbe.be/jobs-et-carriere/emploi-dans-lenseignement/</w:t>
        </w:r>
      </w:hyperlink>
      <w:r>
        <w:rPr>
          <w:rFonts w:ascii="Verdana" w:hAnsi="Verdana"/>
          <w:color w:val="FF0000"/>
        </w:rPr>
        <w:t xml:space="preserve"> </w:t>
      </w:r>
      <w:r>
        <w:rPr>
          <w:rFonts w:ascii="Verdana" w:hAnsi="Verdana"/>
        </w:rPr>
        <w:t xml:space="preserve">et à joindre dans votre candidature) </w:t>
      </w:r>
    </w:p>
    <w:p>
      <w:pPr>
        <w:rPr>
          <w:rFonts w:ascii="Verdana" w:hAnsi="Verdana"/>
          <w:b/>
        </w:rPr>
      </w:pPr>
      <w:r>
        <w:rPr>
          <w:rFonts w:ascii="Verdana" w:hAnsi="Verdana"/>
          <w:b/>
        </w:rPr>
        <w:lastRenderedPageBreak/>
        <w:t xml:space="preserve">Annexe 1. Conditions d’accès à la fonction </w:t>
      </w:r>
    </w:p>
    <w:p>
      <w:pPr>
        <w:pBdr>
          <w:top w:val="single" w:sz="4" w:space="1" w:color="auto"/>
          <w:left w:val="single" w:sz="4" w:space="4" w:color="auto"/>
          <w:bottom w:val="single" w:sz="4" w:space="0" w:color="auto"/>
          <w:right w:val="single" w:sz="4" w:space="4" w:color="auto"/>
        </w:pBdr>
        <w:spacing w:after="0" w:line="240" w:lineRule="auto"/>
        <w:jc w:val="both"/>
        <w:rPr>
          <w:rFonts w:ascii="Verdana" w:hAnsi="Verdana"/>
        </w:rPr>
      </w:pPr>
      <w:r>
        <w:rPr>
          <w:rFonts w:ascii="Verdana" w:hAnsi="Verdana"/>
          <w:b/>
          <w:u w:val="double"/>
        </w:rPr>
        <w:t>Les conditions légales d'accès à la fonction</w:t>
      </w:r>
      <w:r>
        <w:rPr>
          <w:rFonts w:ascii="Verdana" w:hAnsi="Verdana"/>
        </w:rPr>
        <w:t xml:space="preserve"> sont :</w:t>
      </w:r>
    </w:p>
    <w:p>
      <w:pPr>
        <w:pBdr>
          <w:top w:val="single" w:sz="4" w:space="1" w:color="auto"/>
          <w:left w:val="single" w:sz="4" w:space="4" w:color="auto"/>
          <w:bottom w:val="single" w:sz="4" w:space="0" w:color="auto"/>
          <w:right w:val="single" w:sz="4" w:space="4" w:color="auto"/>
        </w:pBdr>
        <w:spacing w:after="0" w:line="240" w:lineRule="auto"/>
        <w:jc w:val="both"/>
        <w:rPr>
          <w:rFonts w:ascii="Verdana" w:hAnsi="Verdana"/>
        </w:rPr>
      </w:pPr>
    </w:p>
    <w:p>
      <w:pPr>
        <w:pBdr>
          <w:top w:val="single" w:sz="4" w:space="1" w:color="auto"/>
          <w:left w:val="single" w:sz="4" w:space="4" w:color="auto"/>
          <w:bottom w:val="single" w:sz="4" w:space="0" w:color="auto"/>
          <w:right w:val="single" w:sz="4" w:space="4" w:color="auto"/>
        </w:pBdr>
        <w:spacing w:after="0" w:line="240" w:lineRule="auto"/>
        <w:ind w:firstLine="708"/>
        <w:jc w:val="both"/>
        <w:rPr>
          <w:rFonts w:ascii="Verdana" w:hAnsi="Verdana" w:cs="Arial"/>
          <w:color w:val="000000" w:themeColor="text1"/>
        </w:rPr>
      </w:pPr>
      <w:r>
        <w:rPr>
          <w:rFonts w:ascii="Verdana" w:hAnsi="Verdana" w:cs="Arial"/>
          <w:color w:val="000000" w:themeColor="text1"/>
        </w:rPr>
        <w:t>1° être porteur d’un titre de niveau bachelier au moins;</w:t>
      </w:r>
    </w:p>
    <w:p>
      <w:pPr>
        <w:pBdr>
          <w:top w:val="single" w:sz="4" w:space="1" w:color="auto"/>
          <w:left w:val="single" w:sz="4" w:space="4" w:color="auto"/>
          <w:bottom w:val="single" w:sz="4" w:space="0" w:color="auto"/>
          <w:right w:val="single" w:sz="4" w:space="4" w:color="auto"/>
        </w:pBdr>
        <w:spacing w:after="0" w:line="240" w:lineRule="auto"/>
        <w:ind w:firstLine="708"/>
        <w:jc w:val="both"/>
        <w:rPr>
          <w:rFonts w:ascii="Verdana" w:hAnsi="Verdana" w:cs="Arial"/>
          <w:color w:val="000000" w:themeColor="text1"/>
        </w:rPr>
      </w:pPr>
      <w:r>
        <w:rPr>
          <w:rFonts w:ascii="Verdana" w:hAnsi="Verdana" w:cs="Arial"/>
          <w:color w:val="000000" w:themeColor="text1"/>
        </w:rPr>
        <w:t xml:space="preserve">2° être porteur d’un titre </w:t>
      </w:r>
      <w:r>
        <w:rPr>
          <w:rFonts w:ascii="Verdana" w:hAnsi="Verdana" w:cs="Arial"/>
        </w:rPr>
        <w:t>pédagogique</w:t>
      </w:r>
      <w:bookmarkStart w:id="1" w:name="_Ref4752735"/>
      <w:r>
        <w:rPr>
          <w:rStyle w:val="Appelnotedebasdep"/>
          <w:rFonts w:ascii="Verdana" w:hAnsi="Verdana" w:cs="Arial"/>
        </w:rPr>
        <w:footnoteReference w:id="1"/>
      </w:r>
      <w:bookmarkEnd w:id="1"/>
      <w:r>
        <w:rPr>
          <w:rFonts w:ascii="Verdana" w:hAnsi="Verdana" w:cs="Arial"/>
        </w:rPr>
        <w:t> ;</w:t>
      </w:r>
    </w:p>
    <w:p>
      <w:pPr>
        <w:pBdr>
          <w:top w:val="single" w:sz="4" w:space="1" w:color="auto"/>
          <w:left w:val="single" w:sz="4" w:space="4" w:color="auto"/>
          <w:bottom w:val="single" w:sz="4" w:space="0" w:color="auto"/>
          <w:right w:val="single" w:sz="4" w:space="4" w:color="auto"/>
        </w:pBdr>
        <w:spacing w:after="0" w:line="240" w:lineRule="auto"/>
        <w:ind w:firstLine="708"/>
        <w:jc w:val="both"/>
        <w:rPr>
          <w:rFonts w:ascii="Verdana" w:hAnsi="Verdana" w:cs="Arial"/>
        </w:rPr>
      </w:pPr>
      <w:r>
        <w:rPr>
          <w:rFonts w:ascii="Verdana" w:hAnsi="Verdana" w:cs="Arial"/>
        </w:rPr>
        <w:t xml:space="preserve">3° compter une ancienneté de service de trois ans au sein de l’enseignement </w:t>
      </w:r>
      <w:r>
        <w:rPr>
          <w:rFonts w:ascii="Verdana" w:hAnsi="Verdana" w:cs="Arial"/>
        </w:rPr>
        <w:tab/>
        <w:t>organisé ou subventionné par la Communauté Française;</w:t>
      </w:r>
    </w:p>
    <w:p>
      <w:pPr>
        <w:pBdr>
          <w:top w:val="single" w:sz="4" w:space="1" w:color="auto"/>
          <w:left w:val="single" w:sz="4" w:space="4" w:color="auto"/>
          <w:bottom w:val="single" w:sz="4" w:space="0" w:color="auto"/>
          <w:right w:val="single" w:sz="4" w:space="4" w:color="auto"/>
        </w:pBdr>
        <w:spacing w:after="0" w:line="240" w:lineRule="auto"/>
        <w:ind w:firstLine="708"/>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4° avoir répondu à l’appel à candidatures.</w:t>
      </w:r>
    </w:p>
    <w:p>
      <w:pPr>
        <w:pBdr>
          <w:top w:val="single" w:sz="4" w:space="1" w:color="auto"/>
          <w:left w:val="single" w:sz="4" w:space="4" w:color="auto"/>
          <w:bottom w:val="single" w:sz="4" w:space="0" w:color="auto"/>
          <w:right w:val="single" w:sz="4" w:space="4" w:color="auto"/>
        </w:pBdr>
        <w:spacing w:after="0" w:line="240" w:lineRule="auto"/>
        <w:ind w:firstLine="708"/>
        <w:jc w:val="both"/>
        <w:rPr>
          <w:rFonts w:ascii="Verdana" w:eastAsia="Times New Roman" w:hAnsi="Verdana" w:cs="Arial"/>
          <w:color w:val="000000" w:themeColor="text1"/>
          <w:lang w:eastAsia="fr-FR"/>
        </w:rPr>
      </w:pPr>
    </w:p>
    <w:p>
      <w:pPr>
        <w:pBdr>
          <w:top w:val="single" w:sz="4" w:space="1" w:color="auto"/>
          <w:left w:val="single" w:sz="4" w:space="4" w:color="auto"/>
          <w:bottom w:val="single" w:sz="4" w:space="0" w:color="auto"/>
          <w:right w:val="single" w:sz="4" w:space="4" w:color="auto"/>
        </w:pBdr>
        <w:spacing w:after="0" w:line="240" w:lineRule="auto"/>
        <w:ind w:firstLine="708"/>
        <w:jc w:val="both"/>
        <w:rPr>
          <w:rFonts w:ascii="Verdana" w:eastAsia="Times New Roman" w:hAnsi="Verdana" w:cs="Arial"/>
          <w:color w:val="000000" w:themeColor="text1"/>
          <w:lang w:eastAsia="fr-FR"/>
        </w:rPr>
      </w:pPr>
    </w:p>
    <w:p>
      <w:pPr>
        <w:pBdr>
          <w:top w:val="single" w:sz="4" w:space="1" w:color="auto"/>
          <w:left w:val="single" w:sz="4" w:space="4" w:color="auto"/>
          <w:bottom w:val="single" w:sz="4" w:space="0" w:color="auto"/>
          <w:right w:val="single" w:sz="4" w:space="4" w:color="auto"/>
        </w:pBdr>
        <w:spacing w:after="0" w:line="240" w:lineRule="auto"/>
        <w:jc w:val="both"/>
        <w:rPr>
          <w:rFonts w:ascii="Verdana" w:hAnsi="Verdana" w:cs="Arial"/>
          <w:b/>
          <w:color w:val="000000" w:themeColor="text1"/>
        </w:rPr>
      </w:pPr>
      <w:r>
        <w:rPr>
          <w:rFonts w:ascii="Verdana" w:hAnsi="Verdana" w:cs="Arial"/>
          <w:b/>
          <w:color w:val="000000" w:themeColor="text1"/>
        </w:rPr>
        <w:t>Les candidats reconnus comme éligibles à une fonction de Directeur/ Directrice par la Commission de valorisation de l’expérience dans l’enseignement</w:t>
      </w:r>
      <w:bookmarkStart w:id="2" w:name="_Ref532810415"/>
      <w:r>
        <w:rPr>
          <w:rStyle w:val="Appelnotedebasdep"/>
          <w:rFonts w:ascii="Verdana" w:eastAsia="Times New Roman" w:hAnsi="Verdana" w:cs="Arial"/>
          <w:b/>
          <w:color w:val="000000" w:themeColor="text1"/>
          <w:lang w:eastAsia="fr-FR"/>
        </w:rPr>
        <w:footnoteReference w:id="2"/>
      </w:r>
      <w:bookmarkEnd w:id="2"/>
      <w:r>
        <w:rPr>
          <w:rFonts w:ascii="Verdana" w:hAnsi="Verdana" w:cs="Arial"/>
          <w:b/>
          <w:color w:val="000000" w:themeColor="text1"/>
        </w:rPr>
        <w:t xml:space="preserve"> ne sont pas concernés par les conditions précitées mais par les conditions suivantes :</w:t>
      </w:r>
    </w:p>
    <w:p>
      <w:pPr>
        <w:pBdr>
          <w:top w:val="single" w:sz="4" w:space="1" w:color="auto"/>
          <w:left w:val="single" w:sz="4" w:space="4" w:color="auto"/>
          <w:bottom w:val="single" w:sz="4" w:space="0" w:color="auto"/>
          <w:right w:val="single" w:sz="4" w:space="4" w:color="auto"/>
        </w:pBdr>
        <w:spacing w:after="0" w:line="240" w:lineRule="auto"/>
        <w:jc w:val="both"/>
        <w:rPr>
          <w:rFonts w:ascii="Verdana" w:hAnsi="Verdana" w:cs="Arial"/>
          <w:b/>
          <w:color w:val="000000" w:themeColor="text1"/>
        </w:rPr>
      </w:pPr>
    </w:p>
    <w:p>
      <w:pPr>
        <w:pBdr>
          <w:top w:val="single" w:sz="4" w:space="1" w:color="auto"/>
          <w:left w:val="single" w:sz="4" w:space="4" w:color="auto"/>
          <w:bottom w:val="single" w:sz="4" w:space="0" w:color="auto"/>
          <w:right w:val="single" w:sz="4" w:space="4" w:color="auto"/>
        </w:pBdr>
        <w:spacing w:after="0" w:line="240" w:lineRule="auto"/>
        <w:ind w:firstLine="708"/>
        <w:jc w:val="both"/>
        <w:rPr>
          <w:rFonts w:ascii="Verdana" w:hAnsi="Verdana"/>
        </w:rPr>
      </w:pPr>
      <w:r>
        <w:rPr>
          <w:rFonts w:ascii="Verdana" w:hAnsi="Verdana" w:cs="Arial"/>
          <w:color w:val="000000" w:themeColor="text1"/>
        </w:rPr>
        <w:t>1° Jouir des droits civils et politiques</w:t>
      </w:r>
    </w:p>
    <w:p>
      <w:pPr>
        <w:pBdr>
          <w:top w:val="single" w:sz="4" w:space="1" w:color="auto"/>
          <w:left w:val="single" w:sz="4" w:space="4" w:color="auto"/>
          <w:bottom w:val="single" w:sz="4" w:space="0" w:color="auto"/>
          <w:right w:val="single" w:sz="4" w:space="4" w:color="auto"/>
        </w:pBdr>
        <w:spacing w:after="0" w:line="240" w:lineRule="auto"/>
        <w:ind w:firstLine="708"/>
        <w:jc w:val="both"/>
        <w:rPr>
          <w:rFonts w:ascii="Verdana" w:hAnsi="Verdana" w:cs="Arial"/>
          <w:color w:val="000000" w:themeColor="text1"/>
        </w:rPr>
      </w:pPr>
      <w:r>
        <w:rPr>
          <w:rFonts w:ascii="Verdana" w:hAnsi="Verdana" w:cs="Arial"/>
          <w:color w:val="000000" w:themeColor="text1"/>
        </w:rPr>
        <w:t xml:space="preserve">2° Satisfaire aux dispositions légales et réglementaires relatives au régime </w:t>
      </w:r>
      <w:r>
        <w:rPr>
          <w:rFonts w:ascii="Verdana" w:hAnsi="Verdana" w:cs="Arial"/>
          <w:color w:val="000000" w:themeColor="text1"/>
        </w:rPr>
        <w:tab/>
        <w:t>linguistique ;</w:t>
      </w:r>
    </w:p>
    <w:p>
      <w:pPr>
        <w:pBdr>
          <w:top w:val="single" w:sz="4" w:space="1" w:color="auto"/>
          <w:left w:val="single" w:sz="4" w:space="4" w:color="auto"/>
          <w:bottom w:val="single" w:sz="4" w:space="0" w:color="auto"/>
          <w:right w:val="single" w:sz="4" w:space="4" w:color="auto"/>
        </w:pBdr>
        <w:spacing w:after="0" w:line="240" w:lineRule="auto"/>
        <w:ind w:firstLine="708"/>
        <w:jc w:val="both"/>
        <w:rPr>
          <w:rFonts w:ascii="Verdana" w:hAnsi="Verdana" w:cs="Arial"/>
          <w:color w:val="000000" w:themeColor="text1"/>
        </w:rPr>
      </w:pPr>
      <w:r>
        <w:rPr>
          <w:rFonts w:ascii="Verdana" w:hAnsi="Verdana" w:cs="Arial"/>
          <w:color w:val="000000" w:themeColor="text1"/>
        </w:rPr>
        <w:t>3° Être de conduite irréprochable ;</w:t>
      </w:r>
    </w:p>
    <w:p>
      <w:pPr>
        <w:pBdr>
          <w:top w:val="single" w:sz="4" w:space="1" w:color="auto"/>
          <w:left w:val="single" w:sz="4" w:space="4" w:color="auto"/>
          <w:bottom w:val="single" w:sz="4" w:space="0" w:color="auto"/>
          <w:right w:val="single" w:sz="4" w:space="4" w:color="auto"/>
        </w:pBdr>
        <w:spacing w:after="0" w:line="240" w:lineRule="auto"/>
        <w:ind w:firstLine="708"/>
        <w:jc w:val="both"/>
        <w:rPr>
          <w:rFonts w:ascii="Verdana" w:hAnsi="Verdana" w:cs="Arial"/>
          <w:color w:val="000000" w:themeColor="text1"/>
        </w:rPr>
      </w:pPr>
      <w:r>
        <w:rPr>
          <w:rFonts w:ascii="Verdana" w:hAnsi="Verdana" w:cs="Arial"/>
          <w:color w:val="000000" w:themeColor="text1"/>
        </w:rPr>
        <w:t>4° Satisfaire aux lois sur la milice ;</w:t>
      </w:r>
    </w:p>
    <w:p>
      <w:pPr>
        <w:pBdr>
          <w:top w:val="single" w:sz="4" w:space="1" w:color="auto"/>
          <w:left w:val="single" w:sz="4" w:space="4" w:color="auto"/>
          <w:bottom w:val="single" w:sz="4" w:space="0" w:color="auto"/>
          <w:right w:val="single" w:sz="4" w:space="4" w:color="auto"/>
        </w:pBdr>
        <w:spacing w:after="0" w:line="240" w:lineRule="auto"/>
        <w:ind w:firstLine="708"/>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5° Avoir répondu à l’appel à candidatures.</w:t>
      </w:r>
    </w:p>
    <w:p>
      <w:pPr>
        <w:pBdr>
          <w:top w:val="single" w:sz="4" w:space="1" w:color="auto"/>
          <w:left w:val="single" w:sz="4" w:space="4" w:color="auto"/>
          <w:bottom w:val="single" w:sz="4" w:space="0" w:color="auto"/>
          <w:right w:val="single" w:sz="4" w:space="4" w:color="auto"/>
        </w:pBdr>
        <w:spacing w:after="0" w:line="240" w:lineRule="auto"/>
        <w:ind w:firstLine="708"/>
        <w:jc w:val="both"/>
        <w:rPr>
          <w:rFonts w:ascii="Verdana" w:eastAsia="Times New Roman" w:hAnsi="Verdana" w:cs="Arial"/>
          <w:color w:val="000000" w:themeColor="text1"/>
          <w:lang w:eastAsia="fr-FR"/>
        </w:rPr>
      </w:pPr>
    </w:p>
    <w:p>
      <w:pPr>
        <w:pBdr>
          <w:top w:val="single" w:sz="4" w:space="1" w:color="auto"/>
          <w:left w:val="single" w:sz="4" w:space="4" w:color="auto"/>
          <w:bottom w:val="single" w:sz="4" w:space="0" w:color="auto"/>
          <w:right w:val="single" w:sz="4" w:space="4" w:color="auto"/>
        </w:pBdr>
        <w:spacing w:after="0" w:line="240" w:lineRule="auto"/>
        <w:jc w:val="both"/>
        <w:rPr>
          <w:rFonts w:ascii="Verdana" w:hAnsi="Verdana" w:cs="Arial"/>
          <w:b/>
          <w:color w:val="000000" w:themeColor="text1"/>
        </w:rPr>
      </w:pPr>
      <w:r>
        <w:rPr>
          <w:rFonts w:ascii="Verdana" w:hAnsi="Verdana"/>
          <w:b/>
        </w:rPr>
        <w:t>En fonction du nombre de candidatures recevables, la commission de sélection pourra opérer un premier tri sur dossier. Cette sélection se fera à partir de l'analyse de l’annexe 3 « Formulaire de candidatures » des candidatures recevables. Les candidats présélectionnés seront auditionnés.</w:t>
      </w:r>
    </w:p>
    <w:p>
      <w:pPr>
        <w:pBdr>
          <w:top w:val="single" w:sz="4" w:space="1" w:color="auto"/>
          <w:left w:val="single" w:sz="4" w:space="4" w:color="auto"/>
          <w:bottom w:val="single" w:sz="4" w:space="0" w:color="auto"/>
          <w:right w:val="single" w:sz="4" w:space="4" w:color="auto"/>
        </w:pBdr>
        <w:spacing w:after="0" w:line="240" w:lineRule="auto"/>
        <w:jc w:val="both"/>
        <w:rPr>
          <w:rFonts w:ascii="Verdana" w:hAnsi="Verdana" w:cs="Arial"/>
          <w:b/>
          <w:color w:val="000000" w:themeColor="text1"/>
        </w:rPr>
      </w:pPr>
    </w:p>
    <w:p>
      <w:pPr>
        <w:pBdr>
          <w:top w:val="single" w:sz="4" w:space="1" w:color="auto"/>
          <w:left w:val="single" w:sz="4" w:space="4" w:color="auto"/>
          <w:bottom w:val="single" w:sz="4" w:space="0" w:color="auto"/>
          <w:right w:val="single" w:sz="4" w:space="4" w:color="auto"/>
        </w:pBdr>
        <w:spacing w:after="0" w:line="240" w:lineRule="auto"/>
        <w:jc w:val="both"/>
        <w:rPr>
          <w:rFonts w:ascii="Verdana" w:hAnsi="Verdana" w:cs="Arial"/>
          <w:b/>
          <w:color w:val="000000" w:themeColor="text1"/>
        </w:rPr>
      </w:pPr>
      <w:r>
        <w:rPr>
          <w:rFonts w:ascii="Verdana" w:hAnsi="Verdana" w:cs="Arial"/>
          <w:b/>
          <w:color w:val="000000" w:themeColor="text1"/>
        </w:rPr>
        <w:t>L’épreuve du cas pratique est prévue le 18 avril 2024 (sous réserve de modifications).</w:t>
      </w:r>
    </w:p>
    <w:p>
      <w:pPr>
        <w:pBdr>
          <w:top w:val="single" w:sz="4" w:space="1" w:color="auto"/>
          <w:left w:val="single" w:sz="4" w:space="4" w:color="auto"/>
          <w:bottom w:val="single" w:sz="4" w:space="0" w:color="auto"/>
          <w:right w:val="single" w:sz="4" w:space="4" w:color="auto"/>
        </w:pBdr>
        <w:spacing w:after="0" w:line="240" w:lineRule="auto"/>
        <w:jc w:val="both"/>
        <w:rPr>
          <w:rFonts w:ascii="Verdana" w:hAnsi="Verdana" w:cs="Arial"/>
          <w:b/>
          <w:color w:val="000000" w:themeColor="text1"/>
        </w:rPr>
      </w:pPr>
    </w:p>
    <w:p>
      <w:pPr>
        <w:pBdr>
          <w:top w:val="single" w:sz="4" w:space="1" w:color="auto"/>
          <w:left w:val="single" w:sz="4" w:space="4" w:color="auto"/>
          <w:bottom w:val="single" w:sz="4" w:space="0" w:color="auto"/>
          <w:right w:val="single" w:sz="4" w:space="4" w:color="auto"/>
        </w:pBdr>
        <w:spacing w:after="0" w:line="240" w:lineRule="auto"/>
        <w:jc w:val="both"/>
        <w:rPr>
          <w:rFonts w:ascii="Verdana" w:hAnsi="Verdana" w:cs="Arial"/>
          <w:b/>
          <w:color w:val="000000" w:themeColor="text1"/>
        </w:rPr>
      </w:pPr>
      <w:r>
        <w:rPr>
          <w:rFonts w:ascii="Verdana" w:hAnsi="Verdana" w:cs="Arial"/>
          <w:b/>
          <w:color w:val="000000" w:themeColor="text1"/>
        </w:rPr>
        <w:t>Le jury oral est prévu le 25 avril 2024 (sous réserve de modifications).</w:t>
      </w:r>
    </w:p>
    <w:p>
      <w:pPr>
        <w:pBdr>
          <w:top w:val="single" w:sz="4" w:space="1" w:color="auto"/>
          <w:left w:val="single" w:sz="4" w:space="4" w:color="auto"/>
          <w:bottom w:val="single" w:sz="4" w:space="0" w:color="auto"/>
          <w:right w:val="single" w:sz="4" w:space="4" w:color="auto"/>
        </w:pBdr>
        <w:spacing w:after="0" w:line="240" w:lineRule="auto"/>
        <w:ind w:firstLine="708"/>
        <w:jc w:val="both"/>
        <w:rPr>
          <w:rFonts w:ascii="Verdana" w:hAnsi="Verdana" w:cs="Arial"/>
          <w:color w:val="000000" w:themeColor="text1"/>
        </w:rPr>
      </w:pPr>
    </w:p>
    <w:p>
      <w:pPr>
        <w:pBdr>
          <w:top w:val="single" w:sz="4" w:space="1" w:color="auto"/>
          <w:left w:val="single" w:sz="4" w:space="4" w:color="auto"/>
          <w:bottom w:val="single" w:sz="4" w:space="0" w:color="auto"/>
          <w:right w:val="single" w:sz="4" w:space="4" w:color="auto"/>
        </w:pBdr>
        <w:spacing w:after="0" w:line="240" w:lineRule="auto"/>
        <w:jc w:val="both"/>
        <w:rPr>
          <w:rFonts w:ascii="Verdana" w:hAnsi="Verdana" w:cs="Arial"/>
          <w:color w:val="000000" w:themeColor="text1"/>
        </w:rPr>
      </w:pPr>
      <w:r>
        <w:rPr>
          <w:rFonts w:ascii="Verdana" w:eastAsia="Times New Roman" w:hAnsi="Verdana" w:cs="Arial"/>
          <w:color w:val="000000" w:themeColor="text1"/>
          <w:lang w:eastAsia="fr-FR"/>
        </w:rPr>
        <w:t>Votre attention est attirée sur le fait qu’il ne sera pas possible, pour des raisons d’organisation, de vous recevoir à un autre moment que ceux fixés par la commission de sélection.</w:t>
      </w: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lastRenderedPageBreak/>
        <w:t>Diplôme : Vous devez être en possession du ou des diplôme(s) requis :</w:t>
      </w:r>
    </w:p>
    <w:p>
      <w:pPr>
        <w:pBdr>
          <w:top w:val="single" w:sz="4" w:space="1" w:color="auto"/>
          <w:left w:val="single" w:sz="4" w:space="4" w:color="auto"/>
          <w:bottom w:val="single" w:sz="4" w:space="1" w:color="auto"/>
          <w:right w:val="single" w:sz="4" w:space="4" w:color="auto"/>
        </w:pBdr>
        <w:spacing w:after="0" w:line="240" w:lineRule="auto"/>
        <w:jc w:val="both"/>
        <w:rPr>
          <w:rFonts w:ascii="Verdana" w:eastAsia="Times New Roman" w:hAnsi="Verdana" w:cs="Arial"/>
          <w:b/>
          <w:color w:val="000000" w:themeColor="text1"/>
          <w:lang w:eastAsia="fr-FR"/>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Pour les diplômes obtenus hors Belgique, une attestation d'équivalence du diplôme de la Communauté française est requise (pour l'obtenir: 02/690.89.00  Service de l’équivalence des diplômes /Service de la reconnaissance académique et professionnelle des diplômes étrangers d’enseignement supérieur)</w:t>
      </w:r>
    </w:p>
    <w:p>
      <w:pPr>
        <w:pBdr>
          <w:top w:val="single" w:sz="4" w:space="1" w:color="auto"/>
          <w:left w:val="single" w:sz="4" w:space="4" w:color="auto"/>
          <w:bottom w:val="single" w:sz="4" w:space="1" w:color="auto"/>
          <w:right w:val="single" w:sz="4" w:space="4" w:color="auto"/>
        </w:pBdr>
        <w:spacing w:after="0" w:line="240" w:lineRule="auto"/>
        <w:jc w:val="both"/>
        <w:rPr>
          <w:rFonts w:ascii="Verdana" w:eastAsia="Times New Roman" w:hAnsi="Verdana" w:cs="Arial"/>
          <w:color w:val="000000" w:themeColor="text1"/>
          <w:lang w:eastAsia="fr-FR"/>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Pour les diplômes obtenus dans une autre langue que le français, une attestation de votre connaissance de la langue française délivrée par le Selor suite à un test linguistique (article 7) est requise (pour l’obtenir : inscription  en ligne sur le site du Selor (www.selor.be))</w:t>
      </w:r>
    </w:p>
    <w:p>
      <w:pPr>
        <w:pBdr>
          <w:top w:val="single" w:sz="4" w:space="1" w:color="auto"/>
          <w:left w:val="single" w:sz="4" w:space="4" w:color="auto"/>
          <w:bottom w:val="single" w:sz="4" w:space="1" w:color="auto"/>
          <w:right w:val="single" w:sz="4" w:space="4" w:color="auto"/>
        </w:pBdr>
        <w:spacing w:after="0" w:line="240" w:lineRule="auto"/>
        <w:jc w:val="both"/>
        <w:rPr>
          <w:rFonts w:ascii="Verdana" w:eastAsia="Times New Roman" w:hAnsi="Verdana" w:cs="Arial"/>
          <w:color w:val="000000" w:themeColor="text1"/>
          <w:lang w:eastAsia="fr-FR"/>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Vous </w:t>
      </w:r>
      <w:r>
        <w:rPr>
          <w:rFonts w:ascii="Verdana" w:eastAsia="Times New Roman" w:hAnsi="Verdana" w:cs="Verdana"/>
          <w:color w:val="000000" w:themeColor="text1"/>
          <w:lang w:eastAsia="fr-FR"/>
        </w:rPr>
        <w:t>ê</w:t>
      </w:r>
      <w:r>
        <w:rPr>
          <w:rFonts w:ascii="Verdana" w:eastAsia="Times New Roman" w:hAnsi="Verdana" w:cs="Arial"/>
          <w:color w:val="000000" w:themeColor="text1"/>
          <w:lang w:eastAsia="fr-FR"/>
        </w:rPr>
        <w:t>tes belge ou ressortissant d</w:t>
      </w:r>
      <w:r>
        <w:rPr>
          <w:rFonts w:ascii="Verdana" w:eastAsia="Times New Roman" w:hAnsi="Verdana" w:cs="Verdana"/>
          <w:color w:val="000000" w:themeColor="text1"/>
          <w:lang w:eastAsia="fr-FR"/>
        </w:rPr>
        <w:t>’</w:t>
      </w:r>
      <w:r>
        <w:rPr>
          <w:rFonts w:ascii="Verdana" w:eastAsia="Times New Roman" w:hAnsi="Verdana" w:cs="Arial"/>
          <w:color w:val="000000" w:themeColor="text1"/>
          <w:lang w:eastAsia="fr-FR"/>
        </w:rPr>
        <w:t>un Etat faisant partie de l</w:t>
      </w:r>
      <w:r>
        <w:rPr>
          <w:rFonts w:ascii="Verdana" w:eastAsia="Times New Roman" w:hAnsi="Verdana" w:cs="Verdana"/>
          <w:color w:val="000000" w:themeColor="text1"/>
          <w:lang w:eastAsia="fr-FR"/>
        </w:rPr>
        <w:t>’</w:t>
      </w:r>
      <w:r>
        <w:rPr>
          <w:rFonts w:ascii="Verdana" w:eastAsia="Times New Roman" w:hAnsi="Verdana" w:cs="Arial"/>
          <w:color w:val="000000" w:themeColor="text1"/>
          <w:lang w:eastAsia="fr-FR"/>
        </w:rPr>
        <w:t xml:space="preserve">Espace </w:t>
      </w:r>
      <w:r>
        <w:rPr>
          <w:rFonts w:ascii="Verdana" w:eastAsia="Times New Roman" w:hAnsi="Verdana" w:cs="Verdana"/>
          <w:color w:val="000000" w:themeColor="text1"/>
          <w:lang w:eastAsia="fr-FR"/>
        </w:rPr>
        <w:t>é</w:t>
      </w:r>
      <w:r>
        <w:rPr>
          <w:rFonts w:ascii="Verdana" w:eastAsia="Times New Roman" w:hAnsi="Verdana" w:cs="Arial"/>
          <w:color w:val="000000" w:themeColor="text1"/>
          <w:lang w:eastAsia="fr-FR"/>
        </w:rPr>
        <w:t>conomique europ</w:t>
      </w:r>
      <w:r>
        <w:rPr>
          <w:rFonts w:ascii="Verdana" w:eastAsia="Times New Roman" w:hAnsi="Verdana" w:cs="Verdana"/>
          <w:color w:val="000000" w:themeColor="text1"/>
          <w:lang w:eastAsia="fr-FR"/>
        </w:rPr>
        <w:t>é</w:t>
      </w:r>
      <w:r>
        <w:rPr>
          <w:rFonts w:ascii="Verdana" w:eastAsia="Times New Roman" w:hAnsi="Verdana" w:cs="Arial"/>
          <w:color w:val="000000" w:themeColor="text1"/>
          <w:lang w:eastAsia="fr-FR"/>
        </w:rPr>
        <w:t xml:space="preserve">en (ou de la Suisse) ou ressortissant hors espace </w:t>
      </w:r>
      <w:r>
        <w:rPr>
          <w:rFonts w:ascii="Verdana" w:eastAsia="Times New Roman" w:hAnsi="Verdana" w:cs="Verdana"/>
          <w:color w:val="000000" w:themeColor="text1"/>
          <w:lang w:eastAsia="fr-FR"/>
        </w:rPr>
        <w:t>é</w:t>
      </w:r>
      <w:r>
        <w:rPr>
          <w:rFonts w:ascii="Verdana" w:eastAsia="Times New Roman" w:hAnsi="Verdana" w:cs="Arial"/>
          <w:color w:val="000000" w:themeColor="text1"/>
          <w:lang w:eastAsia="fr-FR"/>
        </w:rPr>
        <w:t>conomique europ</w:t>
      </w:r>
      <w:r>
        <w:rPr>
          <w:rFonts w:ascii="Verdana" w:eastAsia="Times New Roman" w:hAnsi="Verdana" w:cs="Verdana"/>
          <w:color w:val="000000" w:themeColor="text1"/>
          <w:lang w:eastAsia="fr-FR"/>
        </w:rPr>
        <w:t>é</w:t>
      </w:r>
      <w:r>
        <w:rPr>
          <w:rFonts w:ascii="Verdana" w:eastAsia="Times New Roman" w:hAnsi="Verdana" w:cs="Arial"/>
          <w:color w:val="000000" w:themeColor="text1"/>
          <w:lang w:eastAsia="fr-FR"/>
        </w:rPr>
        <w:t>en disposant d</w:t>
      </w:r>
      <w:r>
        <w:rPr>
          <w:rFonts w:ascii="Verdana" w:eastAsia="Times New Roman" w:hAnsi="Verdana" w:cs="Verdana"/>
          <w:color w:val="000000" w:themeColor="text1"/>
          <w:lang w:eastAsia="fr-FR"/>
        </w:rPr>
        <w:t>’</w:t>
      </w:r>
      <w:r>
        <w:rPr>
          <w:rFonts w:ascii="Verdana" w:eastAsia="Times New Roman" w:hAnsi="Verdana" w:cs="Arial"/>
          <w:color w:val="000000" w:themeColor="text1"/>
          <w:lang w:eastAsia="fr-FR"/>
        </w:rPr>
        <w:t>un titre de séjour et d’un permis de travail valides.</w:t>
      </w:r>
    </w:p>
    <w:p>
      <w:pPr>
        <w:spacing w:after="160" w:line="259" w:lineRule="auto"/>
        <w:rPr>
          <w:rFonts w:ascii="Verdana" w:hAnsi="Verdana"/>
        </w:rPr>
      </w:pPr>
    </w:p>
    <w:p>
      <w:pPr>
        <w:pBdr>
          <w:top w:val="single" w:sz="4" w:space="1" w:color="auto"/>
          <w:left w:val="single" w:sz="4" w:space="4" w:color="auto"/>
          <w:bottom w:val="single" w:sz="4" w:space="0" w:color="auto"/>
          <w:right w:val="single" w:sz="4" w:space="4" w:color="auto"/>
        </w:pBdr>
        <w:spacing w:after="0" w:line="240" w:lineRule="auto"/>
        <w:jc w:val="both"/>
        <w:rPr>
          <w:rFonts w:ascii="Verdana" w:eastAsia="Times New Roman" w:hAnsi="Verdana" w:cs="Arial"/>
          <w:color w:val="000000" w:themeColor="text1"/>
          <w:lang w:eastAsia="fr-FR"/>
        </w:rPr>
      </w:pPr>
    </w:p>
    <w:p>
      <w:pPr>
        <w:pBdr>
          <w:top w:val="single" w:sz="4" w:space="1" w:color="auto"/>
          <w:left w:val="single" w:sz="4" w:space="4" w:color="auto"/>
          <w:bottom w:val="single" w:sz="4" w:space="0" w:color="auto"/>
          <w:right w:val="single" w:sz="4" w:space="4" w:color="auto"/>
        </w:pBdr>
        <w:spacing w:after="0" w:line="240" w:lineRule="auto"/>
        <w:jc w:val="center"/>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Wallonie-Bruxelles Enseignement promeut la diversité et l’égalité des chances. Nos chargés de sélection mettent en œuvre des procédures de sélection objectives fondées sur les compétences. La couleur de peau, l’origine, le sexe, les convictions religieuses, le handicap ... ne jouent aucun rôle dans le screening et l’évaluation des candidats.</w:t>
      </w:r>
    </w:p>
    <w:p>
      <w:pPr>
        <w:pBdr>
          <w:top w:val="single" w:sz="4" w:space="1" w:color="auto"/>
          <w:left w:val="single" w:sz="4" w:space="4" w:color="auto"/>
          <w:bottom w:val="single" w:sz="4" w:space="0" w:color="auto"/>
          <w:right w:val="single" w:sz="4" w:space="4" w:color="auto"/>
        </w:pBdr>
        <w:spacing w:after="0" w:line="240" w:lineRule="auto"/>
        <w:jc w:val="center"/>
        <w:rPr>
          <w:rFonts w:ascii="Verdana" w:eastAsia="Times New Roman" w:hAnsi="Verdana" w:cs="Arial"/>
          <w:color w:val="000000" w:themeColor="text1"/>
          <w:lang w:eastAsia="fr-FR"/>
        </w:rPr>
      </w:pPr>
    </w:p>
    <w:p>
      <w:pPr>
        <w:pBdr>
          <w:top w:val="single" w:sz="4" w:space="1" w:color="auto"/>
          <w:left w:val="single" w:sz="4" w:space="4" w:color="auto"/>
          <w:bottom w:val="single" w:sz="4" w:space="0" w:color="auto"/>
          <w:right w:val="single" w:sz="4" w:space="4" w:color="auto"/>
        </w:pBdr>
        <w:spacing w:after="0" w:line="240" w:lineRule="auto"/>
        <w:jc w:val="center"/>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Vous présentez un handicap, un trouble ou une maladie et souhaitez bénéficier d’aménagements raisonnables dans le cadre de la procédure de sélection ?</w:t>
      </w:r>
    </w:p>
    <w:p>
      <w:pPr>
        <w:pBdr>
          <w:top w:val="single" w:sz="4" w:space="1" w:color="auto"/>
          <w:left w:val="single" w:sz="4" w:space="4" w:color="auto"/>
          <w:bottom w:val="single" w:sz="4" w:space="0" w:color="auto"/>
          <w:right w:val="single" w:sz="4" w:space="4" w:color="auto"/>
        </w:pBdr>
        <w:spacing w:after="0" w:line="240" w:lineRule="auto"/>
        <w:jc w:val="center"/>
        <w:rPr>
          <w:rFonts w:ascii="Verdana" w:eastAsia="Times New Roman" w:hAnsi="Verdana" w:cs="Arial"/>
          <w:b/>
          <w:color w:val="000000" w:themeColor="text1"/>
          <w:lang w:eastAsia="fr-FR"/>
        </w:rPr>
      </w:pPr>
    </w:p>
    <w:p>
      <w:pPr>
        <w:pBdr>
          <w:top w:val="single" w:sz="4" w:space="1" w:color="auto"/>
          <w:left w:val="single" w:sz="4" w:space="4" w:color="auto"/>
          <w:bottom w:val="single" w:sz="4" w:space="0" w:color="auto"/>
          <w:right w:val="single" w:sz="4" w:space="4" w:color="auto"/>
        </w:pBdr>
        <w:spacing w:after="0" w:line="240" w:lineRule="auto"/>
        <w:jc w:val="center"/>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Faites en mention dans votre acte de candidature en nous fournissant les informations qui nous permettront d’adapter les conditions de l’entretien.</w:t>
      </w:r>
    </w:p>
    <w:p>
      <w:pPr>
        <w:pBdr>
          <w:top w:val="single" w:sz="4" w:space="1" w:color="auto"/>
          <w:left w:val="single" w:sz="4" w:space="4" w:color="auto"/>
          <w:bottom w:val="single" w:sz="4" w:space="0" w:color="auto"/>
          <w:right w:val="single" w:sz="4" w:space="4" w:color="auto"/>
        </w:pBdr>
        <w:spacing w:after="0" w:line="240" w:lineRule="auto"/>
        <w:jc w:val="center"/>
        <w:rPr>
          <w:rFonts w:ascii="Verdana" w:eastAsia="Times New Roman" w:hAnsi="Verdana" w:cs="Arial"/>
          <w:color w:val="000000" w:themeColor="text1"/>
          <w:lang w:eastAsia="fr-FR"/>
        </w:rPr>
      </w:pPr>
    </w:p>
    <w:p>
      <w:pPr>
        <w:pBdr>
          <w:top w:val="single" w:sz="4" w:space="1" w:color="auto"/>
          <w:left w:val="single" w:sz="4" w:space="4" w:color="auto"/>
          <w:bottom w:val="single" w:sz="4" w:space="0" w:color="auto"/>
          <w:right w:val="single" w:sz="4" w:space="4" w:color="auto"/>
        </w:pBdr>
        <w:spacing w:after="0" w:line="240" w:lineRule="auto"/>
        <w:jc w:val="center"/>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Pour toute question sur les aménagements raisonnables : </w:t>
      </w:r>
    </w:p>
    <w:p>
      <w:pPr>
        <w:pBdr>
          <w:top w:val="single" w:sz="4" w:space="1" w:color="auto"/>
          <w:left w:val="single" w:sz="4" w:space="4" w:color="auto"/>
          <w:bottom w:val="single" w:sz="4" w:space="0" w:color="auto"/>
          <w:right w:val="single" w:sz="4" w:space="4" w:color="auto"/>
        </w:pBdr>
        <w:spacing w:after="0" w:line="240" w:lineRule="auto"/>
        <w:jc w:val="center"/>
        <w:rPr>
          <w:rFonts w:ascii="Verdana" w:eastAsia="Times New Roman" w:hAnsi="Verdana" w:cs="Arial"/>
          <w:color w:val="000000" w:themeColor="text1"/>
          <w:lang w:eastAsia="fr-FR"/>
        </w:rPr>
      </w:pPr>
      <w:hyperlink r:id="rId11">
        <w:r>
          <w:rPr>
            <w:rStyle w:val="LienInternet"/>
            <w:rFonts w:ascii="Verdana" w:hAnsi="Verdana"/>
          </w:rPr>
          <w:t>selection.promotion(at)w-b-e.be</w:t>
        </w:r>
      </w:hyperlink>
    </w:p>
    <w:p>
      <w:pPr>
        <w:spacing w:after="160" w:line="259" w:lineRule="auto"/>
        <w:rPr>
          <w:rFonts w:ascii="Verdana" w:hAnsi="Verdana"/>
        </w:rPr>
      </w:pPr>
      <w:r>
        <w:rPr>
          <w:rFonts w:ascii="Verdana" w:hAnsi="Verdana"/>
        </w:rPr>
        <w:br w:type="page"/>
      </w:r>
    </w:p>
    <w:p>
      <w:pPr>
        <w:tabs>
          <w:tab w:val="left" w:pos="1985"/>
        </w:tabs>
        <w:spacing w:after="0" w:line="240" w:lineRule="auto"/>
        <w:jc w:val="both"/>
        <w:rPr>
          <w:rFonts w:ascii="Calibri" w:eastAsia="Times New Roman" w:hAnsi="Calibri" w:cs="Times New Roman"/>
          <w:sz w:val="20"/>
          <w:szCs w:val="20"/>
          <w:lang w:eastAsia="fr-FR"/>
        </w:rPr>
      </w:pPr>
      <w:r>
        <w:rPr>
          <w:rFonts w:ascii="Times New Roman" w:eastAsia="Times New Roman" w:hAnsi="Times New Roman" w:cs="Times New Roman"/>
          <w:noProof/>
          <w:sz w:val="24"/>
          <w:szCs w:val="24"/>
          <w:lang w:eastAsia="fr-BE"/>
        </w:rPr>
        <w:lastRenderedPageBreak/>
        <w:drawing>
          <wp:anchor distT="0" distB="0" distL="114300" distR="114300" simplePos="0" relativeHeight="251665408" behindDoc="0" locked="0" layoutInCell="1" allowOverlap="1">
            <wp:simplePos x="0" y="0"/>
            <wp:positionH relativeFrom="margin">
              <wp:align>center</wp:align>
            </wp:positionH>
            <wp:positionV relativeFrom="paragraph">
              <wp:posOffset>-33548</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tabs>
          <w:tab w:val="left" w:pos="1985"/>
        </w:tabs>
        <w:spacing w:after="0" w:line="240" w:lineRule="auto"/>
        <w:jc w:val="both"/>
        <w:rPr>
          <w:rFonts w:ascii="Calibri" w:eastAsia="Times New Roman" w:hAnsi="Calibri" w:cs="Times New Roman"/>
          <w:sz w:val="20"/>
          <w:szCs w:val="20"/>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rPr>
          <w:rFonts w:ascii="Verdana" w:hAnsi="Verdana"/>
          <w:b/>
        </w:rPr>
      </w:pPr>
      <w:r>
        <w:rPr>
          <w:rFonts w:ascii="Verdana" w:hAnsi="Verdana"/>
          <w:b/>
        </w:rPr>
        <w:t>Annexe 2 - Profil de fonction établi par le Pouvoir organisateur :</w:t>
      </w: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bookmarkStart w:id="3" w:name="_Toc496507100"/>
    <w:bookmarkStart w:id="4" w:name="_Toc496000780"/>
    <w:bookmarkStart w:id="5" w:name="_Toc495298909"/>
    <w:bookmarkStart w:id="6" w:name="_Toc489775823"/>
    <w:p>
      <w:pPr>
        <w:spacing w:before="3640" w:after="240" w:line="240" w:lineRule="auto"/>
        <w:contextualSpacing/>
        <w:rPr>
          <w:rFonts w:ascii="Calibri Light" w:eastAsia="Calibri" w:hAnsi="Calibri Light" w:cs="Times New Roman"/>
          <w:b/>
          <w:caps/>
          <w:sz w:val="48"/>
          <w:szCs w:val="68"/>
          <w:lang w:eastAsia="nl-BE"/>
        </w:rPr>
      </w:pPr>
      <w:sdt>
        <w:sdtPr>
          <w:rPr>
            <w:rFonts w:ascii="Calibri Light" w:eastAsia="Calibri" w:hAnsi="Calibri Light" w:cs="Times New Roman"/>
            <w:b/>
            <w:caps/>
            <w:color w:val="0A0F16"/>
            <w:sz w:val="68"/>
            <w:szCs w:val="68"/>
            <w:lang w:eastAsia="nl-BE"/>
          </w:rPr>
          <w:alias w:val="Titre de la fonction"/>
          <w:tag w:val=""/>
          <w:id w:val="-899436851"/>
          <w:placeholder>
            <w:docPart w:val="C22C4B8A2F3343FB8157AA5FFF2D5B3A"/>
          </w:placeholder>
          <w:dataBinding w:prefixMappings="xmlns:ns0='http://schemas.microsoft.com/office/2006/coverPageProps' " w:xpath="/ns0:CoverPageProperties[1]/ns0:CompanyAddress[1]" w:storeItemID="{55AF091B-3C7A-41E3-B477-F2FDAA23CFDA}"/>
          <w:text/>
        </w:sdtPr>
        <w:sdtContent>
          <w:r>
            <w:rPr>
              <w:rFonts w:ascii="Calibri Light" w:eastAsia="Calibri" w:hAnsi="Calibri Light" w:cs="Times New Roman"/>
              <w:b/>
              <w:caps/>
              <w:color w:val="0A0F16"/>
              <w:sz w:val="68"/>
              <w:szCs w:val="68"/>
              <w:lang w:eastAsia="nl-BE"/>
            </w:rPr>
            <w:t>Directeur/Directrice</w:t>
          </w:r>
        </w:sdtContent>
      </w:sdt>
      <w:r>
        <w:rPr>
          <w:rFonts w:ascii="Calibri Light" w:eastAsia="Calibri" w:hAnsi="Calibri Light" w:cs="Times New Roman"/>
          <w:b/>
          <w:caps/>
          <w:sz w:val="68"/>
          <w:szCs w:val="68"/>
          <w:lang w:eastAsia="nl-BE"/>
        </w:rPr>
        <w:t xml:space="preserve"> </w:t>
      </w:r>
    </w:p>
    <w:p>
      <w:pPr>
        <w:spacing w:after="0" w:line="240" w:lineRule="auto"/>
        <w:rPr>
          <w:rFonts w:ascii="Times New Roman" w:eastAsia="Times New Roman" w:hAnsi="Times New Roman" w:cs="Times New Roman"/>
          <w:color w:val="7F7F7F"/>
          <w:sz w:val="24"/>
          <w:szCs w:val="24"/>
          <w:lang w:eastAsia="fr-FR"/>
        </w:rPr>
      </w:pPr>
    </w:p>
    <w:sdt>
      <w:sdtPr>
        <w:rPr>
          <w:rFonts w:ascii="Calibri Light" w:eastAsia="Calibri" w:hAnsi="Calibri Light" w:cs="Calibri Light"/>
          <w:b/>
          <w:noProof/>
          <w:sz w:val="48"/>
          <w:szCs w:val="44"/>
          <w:u w:val="single" w:color="C9282D"/>
        </w:rPr>
        <w:alias w:val="Service"/>
        <w:tag w:val=""/>
        <w:id w:val="408118225"/>
        <w:placeholder>
          <w:docPart w:val="C1A32BC6A9ED4180A68271C259367FAC"/>
        </w:placeholder>
        <w:dataBinding w:prefixMappings="xmlns:ns0='http://purl.org/dc/elements/1.1/' xmlns:ns1='http://schemas.openxmlformats.org/package/2006/metadata/core-properties' " w:xpath="/ns1:coreProperties[1]/ns0:creator[1]" w:storeItemID="{6C3C8BC8-F283-45AE-878A-BAB7291924A1}"/>
        <w:text/>
      </w:sdtPr>
      <w:sdtContent>
        <w:p>
          <w:pPr>
            <w:numPr>
              <w:ilvl w:val="1"/>
              <w:numId w:val="0"/>
            </w:numPr>
            <w:spacing w:after="0" w:line="274" w:lineRule="auto"/>
            <w:ind w:left="426"/>
            <w:rPr>
              <w:rFonts w:ascii="Calibri Light" w:eastAsia="Calibri" w:hAnsi="Calibri Light" w:cs="Calibri Light"/>
              <w:b/>
              <w:noProof/>
              <w:sz w:val="48"/>
              <w:szCs w:val="44"/>
              <w:u w:color="C9282D"/>
            </w:rPr>
          </w:pPr>
          <w:r>
            <w:rPr>
              <w:rFonts w:ascii="Calibri Light" w:eastAsia="Calibri" w:hAnsi="Calibri Light" w:cs="Calibri Light"/>
              <w:b/>
              <w:noProof/>
              <w:sz w:val="48"/>
              <w:szCs w:val="44"/>
              <w:u w:val="single" w:color="C9282D"/>
            </w:rPr>
            <w:t>Institut de promotion sociale</w:t>
          </w:r>
        </w:p>
      </w:sdtContent>
    </w:sdt>
    <w:p>
      <w:pPr>
        <w:spacing w:after="0" w:line="240" w:lineRule="auto"/>
        <w:ind w:firstLine="426"/>
        <w:rPr>
          <w:rFonts w:ascii="Calibri Light" w:eastAsia="Times New Roman" w:hAnsi="Calibri Light" w:cs="Calibri Light"/>
          <w:b/>
          <w:sz w:val="36"/>
          <w:szCs w:val="24"/>
          <w:lang w:eastAsia="fr-FR"/>
        </w:rPr>
      </w:pPr>
    </w:p>
    <w:p>
      <w:pPr>
        <w:spacing w:after="0" w:line="240" w:lineRule="auto"/>
        <w:ind w:firstLine="426"/>
        <w:rPr>
          <w:rFonts w:ascii="Calibri Light" w:eastAsia="Times New Roman" w:hAnsi="Calibri Light" w:cs="Calibri Light"/>
          <w:b/>
          <w:sz w:val="36"/>
          <w:szCs w:val="24"/>
          <w:u w:color="F4AA00"/>
          <w:lang w:eastAsia="fr-FR"/>
        </w:rPr>
      </w:pPr>
      <w:r>
        <w:rPr>
          <w:rFonts w:ascii="Calibri Light" w:eastAsia="Times New Roman" w:hAnsi="Calibri Light" w:cs="Calibri Light"/>
          <w:b/>
          <w:sz w:val="36"/>
          <w:szCs w:val="24"/>
          <w:lang w:eastAsia="fr-FR"/>
        </w:rPr>
        <w:tab/>
      </w:r>
      <w:r>
        <w:rPr>
          <w:rFonts w:ascii="Calibri Light" w:eastAsia="Times New Roman" w:hAnsi="Calibri Light" w:cs="Calibri Light"/>
          <w:b/>
          <w:sz w:val="36"/>
          <w:szCs w:val="24"/>
          <w:lang w:eastAsia="fr-FR"/>
        </w:rPr>
        <w:tab/>
      </w:r>
      <w:r>
        <w:rPr>
          <w:rFonts w:ascii="Calibri Light" w:eastAsia="Times New Roman" w:hAnsi="Calibri Light" w:cs="Calibri Light"/>
          <w:b/>
          <w:color w:val="000000" w:themeColor="text1"/>
          <w:sz w:val="36"/>
          <w:szCs w:val="24"/>
          <w:u w:val="single" w:color="F4AA00"/>
          <w:lang w:eastAsia="fr-FR"/>
        </w:rPr>
        <w:t>Etablissement : EAFC Hesbaye – Condroz de Waremme</w:t>
      </w:r>
    </w:p>
    <w:p>
      <w:pPr>
        <w:spacing w:after="0" w:line="240" w:lineRule="auto"/>
        <w:ind w:firstLine="426"/>
        <w:rPr>
          <w:rFonts w:ascii="Calibri Light" w:eastAsia="Times New Roman" w:hAnsi="Calibri Light" w:cs="Calibri Light"/>
          <w:b/>
          <w:sz w:val="36"/>
          <w:szCs w:val="24"/>
          <w:lang w:eastAsia="fr-FR"/>
        </w:rPr>
      </w:pPr>
    </w:p>
    <w:p>
      <w:pPr>
        <w:spacing w:after="0" w:line="240" w:lineRule="auto"/>
        <w:ind w:firstLine="426"/>
        <w:rPr>
          <w:rFonts w:ascii="Calibri Light" w:eastAsia="Times New Roman" w:hAnsi="Calibri Light" w:cs="Calibri Light"/>
          <w:b/>
          <w:color w:val="000000" w:themeColor="text1"/>
          <w:sz w:val="36"/>
          <w:szCs w:val="24"/>
          <w:u w:val="single" w:color="001D77"/>
          <w:lang w:eastAsia="fr-FR"/>
        </w:rPr>
        <w:sectPr>
          <w:footerReference w:type="default" r:id="rId13"/>
          <w:headerReference w:type="first" r:id="rId14"/>
          <w:footerReference w:type="first" r:id="rId15"/>
          <w:pgSz w:w="11906" w:h="16838" w:code="9"/>
          <w:pgMar w:top="1701" w:right="1134" w:bottom="1134" w:left="1134" w:header="567" w:footer="227" w:gutter="0"/>
          <w:cols w:space="708"/>
          <w:titlePg/>
          <w:docGrid w:linePitch="326"/>
        </w:sectPr>
      </w:pPr>
      <w:r>
        <w:rPr>
          <w:rFonts w:ascii="Calibri Light" w:eastAsia="Times New Roman" w:hAnsi="Calibri Light" w:cs="Calibri Light"/>
          <w:b/>
          <w:sz w:val="36"/>
          <w:szCs w:val="24"/>
          <w:lang w:eastAsia="fr-FR"/>
        </w:rPr>
        <w:tab/>
      </w:r>
      <w:r>
        <w:rPr>
          <w:rFonts w:ascii="Calibri Light" w:eastAsia="Times New Roman" w:hAnsi="Calibri Light" w:cs="Calibri Light"/>
          <w:b/>
          <w:sz w:val="36"/>
          <w:szCs w:val="24"/>
          <w:lang w:eastAsia="fr-FR"/>
        </w:rPr>
        <w:tab/>
      </w:r>
      <w:r>
        <w:rPr>
          <w:rFonts w:ascii="Calibri Light" w:eastAsia="Times New Roman" w:hAnsi="Calibri Light" w:cs="Calibri Light"/>
          <w:b/>
          <w:sz w:val="36"/>
          <w:szCs w:val="24"/>
          <w:lang w:eastAsia="fr-FR"/>
        </w:rPr>
        <w:tab/>
      </w:r>
      <w:r>
        <w:rPr>
          <w:rFonts w:ascii="Calibri Light" w:eastAsia="Times New Roman" w:hAnsi="Calibri Light" w:cs="Calibri Light"/>
          <w:b/>
          <w:color w:val="000000" w:themeColor="text1"/>
          <w:sz w:val="36"/>
          <w:szCs w:val="24"/>
          <w:u w:val="single" w:color="001D77"/>
          <w:lang w:eastAsia="fr-FR"/>
        </w:rPr>
        <w:t>Référence : WBE DIR 2024 R091</w:t>
      </w:r>
    </w:p>
    <w:tbl>
      <w:tblPr>
        <w:tblpPr w:leftFromText="141" w:rightFromText="141" w:vertAnchor="text" w:horzAnchor="margin" w:tblpY="-799"/>
        <w:tblW w:w="9177" w:type="dxa"/>
        <w:shd w:val="clear" w:color="auto" w:fill="C0C0C0"/>
        <w:tblCellMar>
          <w:left w:w="70" w:type="dxa"/>
          <w:right w:w="70" w:type="dxa"/>
        </w:tblCellMar>
        <w:tblLook w:val="0000" w:firstRow="0" w:lastRow="0" w:firstColumn="0" w:lastColumn="0" w:noHBand="0" w:noVBand="0"/>
      </w:tblPr>
      <w:tblGrid>
        <w:gridCol w:w="3059"/>
        <w:gridCol w:w="3059"/>
        <w:gridCol w:w="3059"/>
      </w:tblGrid>
      <w:tr>
        <w:trPr>
          <w:trHeight w:val="535"/>
        </w:trPr>
        <w:tc>
          <w:tcPr>
            <w:tcW w:w="3059" w:type="dxa"/>
            <w:shd w:val="clear" w:color="auto" w:fill="C9282D"/>
            <w:vAlign w:val="center"/>
          </w:tcPr>
          <w:bookmarkEnd w:id="3"/>
          <w:bookmarkEnd w:id="4"/>
          <w:bookmarkEnd w:id="5"/>
          <w:bookmarkEnd w:id="6"/>
          <w:p>
            <w:pPr>
              <w:tabs>
                <w:tab w:val="left" w:pos="1985"/>
              </w:tabs>
              <w:spacing w:after="0" w:line="240" w:lineRule="auto"/>
              <w:ind w:left="181"/>
              <w:jc w:val="center"/>
              <w:rPr>
                <w:rFonts w:ascii="Calibri" w:eastAsia="Times New Roman" w:hAnsi="Calibri" w:cs="Times New Roman"/>
                <w:b/>
                <w:color w:val="FFFFFF"/>
                <w:sz w:val="20"/>
                <w:szCs w:val="20"/>
                <w:lang w:eastAsia="fr-FR"/>
              </w:rPr>
            </w:pPr>
            <w:r>
              <w:rPr>
                <w:rFonts w:ascii="Calibri" w:eastAsia="Times New Roman" w:hAnsi="Calibri" w:cs="Times New Roman"/>
                <w:b/>
                <w:color w:val="FFFFFF"/>
                <w:sz w:val="20"/>
                <w:szCs w:val="20"/>
                <w:lang w:eastAsia="fr-FR"/>
              </w:rPr>
              <w:lastRenderedPageBreak/>
              <w:t>Identité administrative</w:t>
            </w:r>
          </w:p>
        </w:tc>
        <w:tc>
          <w:tcPr>
            <w:tcW w:w="3059"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ascii="Calibri" w:eastAsia="Times New Roman" w:hAnsi="Calibri" w:cs="Times New Roman"/>
                <w:sz w:val="20"/>
                <w:szCs w:val="20"/>
                <w:lang w:eastAsia="fr-FR"/>
              </w:rPr>
              <w:t>Référentiel des responsabilités</w:t>
            </w:r>
          </w:p>
        </w:tc>
        <w:tc>
          <w:tcPr>
            <w:tcW w:w="3059"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ascii="Calibri" w:eastAsia="Times New Roman" w:hAnsi="Calibri" w:cs="Times New Roman"/>
                <w:sz w:val="20"/>
                <w:szCs w:val="20"/>
                <w:lang w:eastAsia="fr-FR"/>
              </w:rPr>
              <w:t>Profil de compétence</w:t>
            </w:r>
          </w:p>
        </w:tc>
      </w:tr>
    </w:tbl>
    <w:p>
      <w:pPr>
        <w:tabs>
          <w:tab w:val="left" w:pos="1985"/>
        </w:tabs>
        <w:spacing w:after="0" w:line="240" w:lineRule="auto"/>
        <w:jc w:val="center"/>
        <w:rPr>
          <w:rFonts w:ascii="Calibri" w:eastAsia="Times New Roman" w:hAnsi="Calibri" w:cs="Times New Roman"/>
          <w:color w:val="000000"/>
          <w:sz w:val="28"/>
          <w:u w:val="single"/>
          <w:lang w:eastAsia="fr-FR"/>
        </w:rPr>
      </w:pPr>
    </w:p>
    <w:p>
      <w:pPr>
        <w:shd w:val="clear" w:color="auto" w:fill="C9282D"/>
        <w:tabs>
          <w:tab w:val="left" w:pos="1985"/>
        </w:tabs>
        <w:spacing w:after="0" w:line="240" w:lineRule="auto"/>
        <w:jc w:val="center"/>
        <w:rPr>
          <w:rFonts w:ascii="Calibri" w:eastAsia="Times New Roman" w:hAnsi="Calibri" w:cs="Times New Roman"/>
          <w:i/>
          <w:color w:val="000000"/>
          <w:sz w:val="28"/>
          <w:lang w:eastAsia="fr-FR"/>
        </w:rPr>
      </w:pPr>
      <w:r>
        <w:rPr>
          <w:rFonts w:ascii="Calibri" w:eastAsia="Times New Roman" w:hAnsi="Calibri" w:cs="Times New Roman"/>
          <w:i/>
          <w:color w:val="FFFFFF" w:themeColor="background1"/>
          <w:sz w:val="28"/>
          <w:lang w:eastAsia="fr-FR"/>
        </w:rPr>
        <w:t>Mission de la fonction</w:t>
      </w:r>
    </w:p>
    <w:p>
      <w:pPr>
        <w:tabs>
          <w:tab w:val="left" w:pos="1985"/>
        </w:tabs>
        <w:spacing w:after="0" w:line="240" w:lineRule="auto"/>
        <w:jc w:val="both"/>
        <w:rPr>
          <w:rFonts w:ascii="Calibri" w:eastAsia="Times New Roman" w:hAnsi="Calibri" w:cs="Times New Roman"/>
          <w:color w:val="000000"/>
          <w:lang w:eastAsia="fr-FR"/>
        </w:rPr>
      </w:pPr>
      <w:r>
        <w:rPr>
          <w:rFonts w:ascii="Calibri" w:eastAsia="Times New Roman" w:hAnsi="Calibri" w:cs="Times New Roman"/>
          <w:color w:val="000000"/>
          <w:lang w:eastAsia="fr-FR"/>
        </w:rPr>
        <w:br/>
        <w:t xml:space="preserve">Le Directeur/ Directrice a une compétence générale de pilotage et d’organisation de l’établissement. </w:t>
      </w:r>
      <w:r>
        <w:rPr>
          <w:rFonts w:ascii="Calibri" w:eastAsia="Times New Roman" w:hAnsi="Calibri" w:cs="Times New Roman"/>
          <w:color w:val="000000"/>
          <w:lang w:eastAsia="fr-FR"/>
        </w:rPr>
        <w:br/>
        <w:t>Il, elle assume les responsabilités que son pouvoir organisateur, WBE, lui confie selon le cadre fixé par la lettre de mission.</w:t>
      </w:r>
    </w:p>
    <w:p>
      <w:pPr>
        <w:spacing w:after="0" w:line="240" w:lineRule="auto"/>
        <w:jc w:val="center"/>
        <w:rPr>
          <w:rFonts w:ascii="Calibri" w:eastAsia="Times New Roman" w:hAnsi="Calibri" w:cs="Times New Roman"/>
          <w:color w:val="000000"/>
          <w:sz w:val="28"/>
          <w:u w:val="single"/>
          <w:lang w:eastAsia="fr-FR"/>
        </w:rPr>
      </w:pPr>
    </w:p>
    <w:tbl>
      <w:tblPr>
        <w:tblpPr w:leftFromText="141" w:rightFromText="141" w:vertAnchor="text" w:horzAnchor="margin" w:tblpY="552"/>
        <w:tblW w:w="8078" w:type="dxa"/>
        <w:tblCellMar>
          <w:left w:w="70" w:type="dxa"/>
          <w:right w:w="70" w:type="dxa"/>
        </w:tblCellMar>
        <w:tblLook w:val="0000" w:firstRow="0" w:lastRow="0" w:firstColumn="0" w:lastColumn="0" w:noHBand="0" w:noVBand="0"/>
      </w:tblPr>
      <w:tblGrid>
        <w:gridCol w:w="3105"/>
        <w:gridCol w:w="1931"/>
        <w:gridCol w:w="974"/>
        <w:gridCol w:w="306"/>
        <w:gridCol w:w="682"/>
        <w:gridCol w:w="1080"/>
      </w:tblGrid>
      <w:tr>
        <w:trPr>
          <w:gridAfter w:val="5"/>
          <w:wAfter w:w="4973" w:type="dxa"/>
          <w:trHeight w:val="311"/>
        </w:trPr>
        <w:tc>
          <w:tcPr>
            <w:tcW w:w="3105" w:type="dxa"/>
            <w:shd w:val="clear" w:color="auto" w:fill="auto"/>
          </w:tcPr>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b/>
                <w:color w:val="000000"/>
                <w:lang w:eastAsia="fr-FR"/>
              </w:rPr>
              <w:t>Relations fonctionnelles :</w:t>
            </w:r>
          </w:p>
        </w:tc>
      </w:tr>
      <w:tr>
        <w:trPr>
          <w:trHeight w:val="460"/>
        </w:trPr>
        <w:tc>
          <w:tcPr>
            <w:tcW w:w="3105" w:type="dxa"/>
            <w:vMerge w:val="restart"/>
            <w:shd w:val="clear" w:color="auto" w:fill="auto"/>
          </w:tcPr>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eastAsia="Times New Roman" w:cs="Times New Roman"/>
                <w:b/>
                <w:color w:val="000000"/>
                <w:lang w:eastAsia="fr-FR"/>
              </w:rPr>
            </w:pPr>
          </w:p>
          <w:p>
            <w:pPr>
              <w:tabs>
                <w:tab w:val="left" w:pos="1985"/>
              </w:tabs>
              <w:spacing w:after="0" w:line="240" w:lineRule="auto"/>
              <w:jc w:val="both"/>
              <w:rPr>
                <w:rFonts w:eastAsia="Times New Roman" w:cs="Times New Roman"/>
                <w:b/>
                <w:color w:val="000000"/>
                <w:lang w:eastAsia="fr-FR"/>
              </w:rPr>
            </w:pPr>
          </w:p>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b/>
                <w:color w:val="000000"/>
                <w:lang w:eastAsia="fr-FR"/>
              </w:rPr>
              <w:t>Environnement de travail :</w:t>
            </w:r>
          </w:p>
        </w:tc>
        <w:tc>
          <w:tcPr>
            <w:tcW w:w="2905" w:type="dxa"/>
            <w:gridSpan w:val="2"/>
            <w:tcBorders>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C9282D"/>
            <w:vAlign w:val="center"/>
          </w:tcPr>
          <w:p>
            <w:pPr>
              <w:tabs>
                <w:tab w:val="left" w:pos="1985"/>
              </w:tabs>
              <w:spacing w:after="0" w:line="240" w:lineRule="auto"/>
              <w:jc w:val="center"/>
              <w:rPr>
                <w:rFonts w:ascii="Calibri" w:eastAsia="Times New Roman" w:hAnsi="Calibri" w:cs="Times New Roman"/>
                <w:color w:val="FFFFFF" w:themeColor="background1"/>
                <w:sz w:val="20"/>
                <w:szCs w:val="20"/>
                <w:lang w:eastAsia="fr-FR"/>
              </w:rPr>
            </w:pPr>
            <w:r>
              <w:rPr>
                <w:rFonts w:eastAsia="Times New Roman" w:cs="Times New Roman"/>
                <w:color w:val="FFFFFF" w:themeColor="background1"/>
                <w:sz w:val="20"/>
                <w:szCs w:val="20"/>
                <w:lang w:eastAsia="fr-FR"/>
              </w:rPr>
              <w:t>Régulières</w:t>
            </w:r>
          </w:p>
        </w:tc>
        <w:tc>
          <w:tcPr>
            <w:tcW w:w="1080" w:type="dxa"/>
            <w:tcBorders>
              <w:top w:val="single" w:sz="4" w:space="0" w:color="000000"/>
              <w:left w:val="single" w:sz="4" w:space="0" w:color="000000"/>
              <w:bottom w:val="single" w:sz="4" w:space="0" w:color="000000"/>
              <w:right w:val="single" w:sz="4" w:space="0" w:color="000000"/>
            </w:tcBorders>
            <w:shd w:val="clear" w:color="auto" w:fill="C9282D"/>
            <w:vAlign w:val="center"/>
          </w:tcPr>
          <w:p>
            <w:pPr>
              <w:tabs>
                <w:tab w:val="left" w:pos="1985"/>
              </w:tabs>
              <w:spacing w:after="0" w:line="240" w:lineRule="auto"/>
              <w:jc w:val="center"/>
              <w:rPr>
                <w:rFonts w:ascii="Calibri" w:eastAsia="Times New Roman" w:hAnsi="Calibri" w:cs="Times New Roman"/>
                <w:color w:val="FFFFFF" w:themeColor="background1"/>
                <w:sz w:val="20"/>
                <w:szCs w:val="20"/>
                <w:lang w:eastAsia="fr-FR"/>
              </w:rPr>
            </w:pPr>
            <w:r>
              <w:rPr>
                <w:rFonts w:eastAsia="Times New Roman" w:cs="Times New Roman"/>
                <w:color w:val="FFFFFF" w:themeColor="background1"/>
                <w:sz w:val="20"/>
                <w:szCs w:val="20"/>
                <w:lang w:eastAsia="fr-FR"/>
              </w:rPr>
              <w:t>Ponctuelles</w:t>
            </w:r>
          </w:p>
        </w:tc>
      </w:tr>
      <w:tr>
        <w:trPr>
          <w:trHeight w:val="460"/>
        </w:trPr>
        <w:tc>
          <w:tcPr>
            <w:tcW w:w="3105" w:type="dxa"/>
            <w:vMerge/>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05"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 Pouvoir Organisateur et le Pouvoir Régulateur</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center"/>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7" w:name="__Fieldmark__318_2749759877"/>
            <w:bookmarkEnd w:id="7"/>
            <w:r>
              <w:fldChar w:fldCharType="end"/>
            </w:r>
          </w:p>
        </w:tc>
      </w:tr>
      <w:tr>
        <w:trPr>
          <w:trHeight w:val="460"/>
        </w:trPr>
        <w:tc>
          <w:tcPr>
            <w:tcW w:w="3105" w:type="dxa"/>
            <w:vMerge/>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05"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 xml:space="preserve">Les </w:t>
            </w:r>
            <w:r>
              <w:rPr>
                <w:rFonts w:eastAsia="Times New Roman" w:cs="Calibri"/>
                <w:bCs/>
                <w:color w:val="000000"/>
                <w:lang w:eastAsia="fr-FR"/>
              </w:rPr>
              <w:t>partenaires et interlocuteurs extérieurs</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8" w:name="__Fieldmark__324_2749759877"/>
            <w:bookmarkEnd w:id="8"/>
            <w:r>
              <w:fldChar w:fldCharType="end"/>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center"/>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r>
      <w:tr>
        <w:trPr>
          <w:trHeight w:val="460"/>
        </w:trPr>
        <w:tc>
          <w:tcPr>
            <w:tcW w:w="3105" w:type="dxa"/>
            <w:vMerge/>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05"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Les médias</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9" w:name="__Fieldmark__334_2749759877"/>
            <w:bookmarkEnd w:id="9"/>
            <w:r>
              <w:fldChar w:fldCharType="end"/>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center"/>
            </w:pPr>
            <w:r>
              <w:fldChar w:fldCharType="begin">
                <w:ffData>
                  <w:name w:val=""/>
                  <w:enabled/>
                  <w:calcOnExit w:val="0"/>
                  <w:checkBox>
                    <w:sizeAuto/>
                    <w:default w:val="0"/>
                    <w:checked/>
                  </w:checkBox>
                </w:ffData>
              </w:fldChar>
            </w:r>
            <w:r>
              <w:instrText>FORMCHECKBOX</w:instrText>
            </w:r>
            <w:r>
              <w:fldChar w:fldCharType="separate"/>
            </w:r>
            <w:bookmarkStart w:id="10" w:name="__Fieldmark__340_2749759877"/>
            <w:bookmarkEnd w:id="10"/>
            <w:r>
              <w:fldChar w:fldCharType="end"/>
            </w:r>
          </w:p>
        </w:tc>
      </w:tr>
      <w:tr>
        <w:trPr>
          <w:trHeight w:val="460"/>
        </w:trPr>
        <w:tc>
          <w:tcPr>
            <w:tcW w:w="3105" w:type="dxa"/>
            <w:vMerge/>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05"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Les membres du personnel, les étudiants</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center"/>
            </w:pPr>
            <w:r>
              <w:fldChar w:fldCharType="begin">
                <w:ffData>
                  <w:name w:val=""/>
                  <w:enabled/>
                  <w:calcOnExit w:val="0"/>
                  <w:checkBox>
                    <w:sizeAuto/>
                    <w:default w:val="0"/>
                    <w:checked/>
                  </w:checkBox>
                </w:ffData>
              </w:fldChar>
            </w:r>
            <w:r>
              <w:instrText>FORMCHECKBOX</w:instrText>
            </w:r>
            <w:r>
              <w:fldChar w:fldCharType="separate"/>
            </w:r>
            <w:bookmarkStart w:id="11" w:name="__Fieldmark__344_2749759877"/>
            <w:bookmarkEnd w:id="11"/>
            <w:r>
              <w:fldChar w:fldCharType="end"/>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12" w:name="__Fieldmark__350_2749759877"/>
            <w:bookmarkEnd w:id="12"/>
            <w:r>
              <w:fldChar w:fldCharType="end"/>
            </w:r>
          </w:p>
        </w:tc>
      </w:tr>
      <w:tr>
        <w:trPr>
          <w:trHeight w:val="460"/>
        </w:trPr>
        <w:tc>
          <w:tcPr>
            <w:tcW w:w="3105" w:type="dxa"/>
            <w:vMerge/>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05"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eastAsia="Times New Roman" w:cs="Times New Roman"/>
                <w:color w:val="000000"/>
                <w:lang w:eastAsia="fr-FR"/>
              </w:rPr>
            </w:pPr>
            <w:r>
              <w:rPr>
                <w:rFonts w:eastAsia="Times New Roman" w:cs="Times New Roman"/>
                <w:color w:val="000000"/>
                <w:lang w:eastAsia="fr-FR"/>
              </w:rPr>
              <w:t>Le conseiller en prévention</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center"/>
            </w:pPr>
            <w:r>
              <w:fldChar w:fldCharType="begin">
                <w:ffData>
                  <w:name w:val=""/>
                  <w:enabled/>
                  <w:calcOnExit w:val="0"/>
                  <w:checkBox>
                    <w:sizeAuto/>
                    <w:default w:val="0"/>
                    <w:checked/>
                  </w:checkBox>
                </w:ffData>
              </w:fldChar>
            </w:r>
            <w:r>
              <w:instrText>FORMCHECKBOX</w:instrText>
            </w:r>
            <w:r>
              <w:fldChar w:fldCharType="separate"/>
            </w:r>
            <w:r>
              <w:fldChar w:fldCharType="end"/>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center"/>
            </w:pPr>
            <w:r>
              <w:fldChar w:fldCharType="begin">
                <w:ffData>
                  <w:name w:val=""/>
                  <w:enabled/>
                  <w:calcOnExit w:val="0"/>
                  <w:checkBox>
                    <w:sizeAuto/>
                    <w:default w:val="0"/>
                  </w:checkBox>
                </w:ffData>
              </w:fldChar>
            </w:r>
            <w:r>
              <w:instrText>FORMCHECKBOX</w:instrText>
            </w:r>
            <w:r>
              <w:fldChar w:fldCharType="separate"/>
            </w:r>
            <w:r>
              <w:fldChar w:fldCharType="end"/>
            </w:r>
          </w:p>
        </w:tc>
      </w:tr>
      <w:tr>
        <w:trPr>
          <w:gridAfter w:val="5"/>
          <w:wAfter w:w="4973" w:type="dxa"/>
          <w:trHeight w:val="269"/>
        </w:trPr>
        <w:tc>
          <w:tcPr>
            <w:tcW w:w="3105" w:type="dxa"/>
            <w:vMerge/>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r>
      <w:tr>
        <w:trPr>
          <w:gridAfter w:val="5"/>
          <w:wAfter w:w="4973" w:type="dxa"/>
          <w:trHeight w:val="269"/>
        </w:trPr>
        <w:tc>
          <w:tcPr>
            <w:tcW w:w="3105" w:type="dxa"/>
            <w:vMerge/>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r>
      <w:tr>
        <w:trPr>
          <w:gridAfter w:val="2"/>
          <w:wAfter w:w="1762" w:type="dxa"/>
          <w:trHeight w:val="460"/>
        </w:trPr>
        <w:tc>
          <w:tcPr>
            <w:tcW w:w="3105" w:type="dxa"/>
            <w:vMerge/>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1931" w:type="dxa"/>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ed/>
                  </w:checkBox>
                </w:ffData>
              </w:fldChar>
            </w:r>
            <w:r>
              <w:instrText>FORMCHECKBOX</w:instrText>
            </w:r>
            <w:r>
              <w:fldChar w:fldCharType="separate"/>
            </w:r>
            <w:bookmarkStart w:id="13" w:name="__Fieldmark__353_2749759877"/>
            <w:bookmarkEnd w:id="13"/>
            <w:r>
              <w:fldChar w:fldCharType="end"/>
            </w:r>
            <w:r>
              <w:rPr>
                <w:rFonts w:eastAsia="Times New Roman" w:cs="Times New Roman"/>
                <w:color w:val="000000"/>
                <w:lang w:eastAsia="fr-FR"/>
              </w:rPr>
              <w:t xml:space="preserve"> </w:t>
            </w:r>
            <w:r>
              <w:rPr>
                <w:rFonts w:ascii="Segoe UI Symbol" w:eastAsia="Times New Roman" w:hAnsi="Segoe UI Symbol" w:cs="Times New Roman"/>
                <w:color w:val="000000"/>
                <w:lang w:eastAsia="fr-FR"/>
              </w:rPr>
              <w:t>É</w:t>
            </w:r>
            <w:r>
              <w:rPr>
                <w:rFonts w:eastAsia="Times New Roman" w:cs="Times New Roman"/>
                <w:color w:val="000000"/>
                <w:lang w:eastAsia="fr-FR"/>
              </w:rPr>
              <w:t xml:space="preserve">tablissement                   </w:t>
            </w:r>
          </w:p>
        </w:tc>
        <w:tc>
          <w:tcPr>
            <w:tcW w:w="1280" w:type="dxa"/>
            <w:gridSpan w:val="2"/>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14" w:name="__Fieldmark__357_2749759877"/>
            <w:bookmarkEnd w:id="14"/>
            <w:r>
              <w:fldChar w:fldCharType="end"/>
            </w:r>
            <w:r>
              <w:rPr>
                <w:rFonts w:eastAsia="Times New Roman" w:cs="Times New Roman"/>
                <w:color w:val="000000"/>
                <w:lang w:eastAsia="fr-FR"/>
              </w:rPr>
              <w:t xml:space="preserve"> Itinérant</w:t>
            </w:r>
          </w:p>
        </w:tc>
      </w:tr>
      <w:tr>
        <w:trPr>
          <w:gridAfter w:val="2"/>
          <w:wAfter w:w="1762" w:type="dxa"/>
          <w:trHeight w:val="460"/>
        </w:trPr>
        <w:tc>
          <w:tcPr>
            <w:tcW w:w="3105" w:type="dxa"/>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1931" w:type="dxa"/>
            <w:shd w:val="clear" w:color="auto" w:fill="auto"/>
            <w:vAlign w:val="center"/>
          </w:tcPr>
          <w:p>
            <w:pPr>
              <w:tabs>
                <w:tab w:val="left" w:pos="1985"/>
              </w:tabs>
              <w:spacing w:after="0" w:line="240" w:lineRule="auto"/>
              <w:jc w:val="both"/>
            </w:pPr>
          </w:p>
        </w:tc>
        <w:tc>
          <w:tcPr>
            <w:tcW w:w="1280" w:type="dxa"/>
            <w:gridSpan w:val="2"/>
            <w:shd w:val="clear" w:color="auto" w:fill="auto"/>
            <w:vAlign w:val="center"/>
          </w:tcPr>
          <w:p>
            <w:pPr>
              <w:tabs>
                <w:tab w:val="left" w:pos="1985"/>
              </w:tabs>
              <w:spacing w:after="0" w:line="240" w:lineRule="auto"/>
              <w:jc w:val="both"/>
            </w:pPr>
          </w:p>
        </w:tc>
      </w:tr>
    </w:tbl>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hd w:val="clear" w:color="auto" w:fill="C9282D"/>
        <w:tabs>
          <w:tab w:val="left" w:pos="1985"/>
        </w:tabs>
        <w:spacing w:after="0" w:line="240" w:lineRule="auto"/>
        <w:jc w:val="center"/>
        <w:rPr>
          <w:rFonts w:ascii="Calibri" w:eastAsia="Times New Roman" w:hAnsi="Calibri" w:cs="Times New Roman"/>
          <w:i/>
          <w:color w:val="000000"/>
          <w:sz w:val="28"/>
          <w:lang w:eastAsia="fr-FR"/>
        </w:rPr>
      </w:pPr>
      <w:r>
        <w:rPr>
          <w:rFonts w:ascii="Calibri" w:eastAsia="Times New Roman" w:hAnsi="Calibri" w:cs="Times New Roman"/>
          <w:i/>
          <w:color w:val="FFFFFF" w:themeColor="background1"/>
          <w:sz w:val="28"/>
          <w:lang w:eastAsia="fr-FR"/>
        </w:rPr>
        <w:t>Missions de WBE en tant que pouvoir organisateur</w:t>
      </w:r>
    </w:p>
    <w:p>
      <w:pPr>
        <w:tabs>
          <w:tab w:val="left" w:pos="1985"/>
        </w:tabs>
        <w:spacing w:after="0" w:line="240" w:lineRule="auto"/>
        <w:jc w:val="both"/>
        <w:rPr>
          <w:rFonts w:ascii="Calibri" w:eastAsia="Times New Roman" w:hAnsi="Calibri" w:cs="Times New Roman"/>
          <w:b/>
          <w:color w:val="000000"/>
          <w:lang w:eastAsia="fr-FR"/>
        </w:rPr>
      </w:pPr>
    </w:p>
    <w:p>
      <w:pPr>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Wallonie-Bruxelles Enseignement (WBE)</w:t>
      </w:r>
      <w:r>
        <w:rPr>
          <w:rFonts w:eastAsia="Times New Roman" w:cs="Times New Roman"/>
          <w:b/>
          <w:bCs/>
          <w:color w:val="000000"/>
          <w:lang w:eastAsia="fr-FR"/>
        </w:rPr>
        <w:t xml:space="preserve"> est le plus important pouvoir organisateur d’enseignement dans l’espace belge francophone. </w:t>
      </w:r>
      <w:r>
        <w:rPr>
          <w:rFonts w:eastAsia="Times New Roman" w:cs="Times New Roman"/>
          <w:bCs/>
          <w:color w:val="000000"/>
          <w:lang w:eastAsia="fr-FR"/>
        </w:rPr>
        <w:t>Nous</w:t>
      </w:r>
      <w:r>
        <w:rPr>
          <w:rFonts w:eastAsia="Times New Roman" w:cs="Times New Roman"/>
          <w:color w:val="000000"/>
          <w:lang w:eastAsia="fr-FR"/>
        </w:rPr>
        <w:t xml:space="preserve"> rassemblons </w:t>
      </w:r>
      <w:r>
        <w:rPr>
          <w:rFonts w:eastAsia="Times New Roman" w:cs="Times New Roman"/>
          <w:b/>
          <w:color w:val="000000"/>
          <w:lang w:eastAsia="fr-FR"/>
        </w:rPr>
        <w:t>365</w:t>
      </w:r>
      <w:r>
        <w:rPr>
          <w:rFonts w:eastAsia="Times New Roman" w:cs="Times New Roman"/>
          <w:color w:val="000000"/>
          <w:lang w:eastAsia="fr-FR"/>
        </w:rPr>
        <w:t xml:space="preserve"> établissements scolaires </w:t>
      </w:r>
      <w:r>
        <w:rPr>
          <w:rFonts w:eastAsia="Times New Roman" w:cs="Times New Roman"/>
          <w:bCs/>
          <w:color w:val="000000"/>
          <w:lang w:eastAsia="fr-FR"/>
        </w:rPr>
        <w:t>et 150 institutions apparentées (internats, centres PMS, etc.), </w:t>
      </w:r>
      <w:r>
        <w:rPr>
          <w:rFonts w:eastAsia="Times New Roman" w:cs="Times New Roman"/>
          <w:color w:val="000000"/>
          <w:lang w:eastAsia="fr-FR"/>
        </w:rPr>
        <w:t>répartis sur l’ensemble du territoire de la Fédération Wallonie-Bruxelles.</w:t>
      </w:r>
    </w:p>
    <w:p>
      <w:pPr>
        <w:spacing w:after="0" w:line="240" w:lineRule="auto"/>
        <w:jc w:val="both"/>
        <w:rPr>
          <w:rFonts w:ascii="Calibri" w:eastAsia="Times New Roman" w:hAnsi="Calibri" w:cs="Times New Roman"/>
          <w:color w:val="000000"/>
          <w:lang w:eastAsia="fr-FR"/>
        </w:rPr>
      </w:pPr>
    </w:p>
    <w:p>
      <w:pPr>
        <w:spacing w:after="0" w:line="240" w:lineRule="auto"/>
        <w:jc w:val="both"/>
        <w:rPr>
          <w:rFonts w:ascii="Calibri" w:eastAsia="Times New Roman" w:hAnsi="Calibri" w:cs="Times New Roman"/>
          <w:color w:val="000000"/>
          <w:lang w:eastAsia="fr-FR"/>
        </w:rPr>
      </w:pPr>
      <w:r>
        <w:rPr>
          <w:rFonts w:eastAsia="Times New Roman" w:cs="Times New Roman"/>
          <w:b/>
          <w:bCs/>
          <w:color w:val="000000"/>
          <w:lang w:eastAsia="fr-FR"/>
        </w:rPr>
        <w:t xml:space="preserve">Ce service public </w:t>
      </w:r>
      <w:r>
        <w:rPr>
          <w:rFonts w:eastAsia="Times New Roman" w:cs="Times New Roman"/>
          <w:bCs/>
          <w:color w:val="000000"/>
          <w:lang w:eastAsia="fr-FR"/>
        </w:rPr>
        <w:t xml:space="preserve">accueille </w:t>
      </w:r>
      <w:r>
        <w:rPr>
          <w:rFonts w:eastAsia="Times New Roman" w:cs="Times New Roman"/>
          <w:color w:val="000000"/>
          <w:lang w:eastAsia="fr-FR"/>
        </w:rPr>
        <w:t>plus de 211 000 élèves ou étudiants de la maternelle à l’enseignement supérieur et emploie plus de 30 000 personnes. WBE, c’est aussi 3.200.000 m² de bâtiments scolaires distribués sur 800 sites géographiques.</w:t>
      </w:r>
    </w:p>
    <w:p>
      <w:pPr>
        <w:spacing w:after="0" w:line="240" w:lineRule="auto"/>
        <w:jc w:val="both"/>
        <w:rPr>
          <w:rFonts w:ascii="Calibri" w:eastAsia="Times New Roman" w:hAnsi="Calibri" w:cs="Times New Roman"/>
          <w:color w:val="000000"/>
          <w:lang w:eastAsia="fr-FR"/>
        </w:rPr>
      </w:pPr>
    </w:p>
    <w:p>
      <w:pPr>
        <w:spacing w:after="0" w:line="240" w:lineRule="auto"/>
        <w:jc w:val="both"/>
      </w:pPr>
      <w:r>
        <w:rPr>
          <w:rFonts w:eastAsia="Times New Roman" w:cs="Times New Roman"/>
          <w:color w:val="000000"/>
          <w:lang w:eastAsia="fr-FR"/>
        </w:rPr>
        <w:t>Le décret spécial du 7 février 2019 crée un organisme public autonome chargé de la compétence de pouvoir organisateur de l’Enseignement organisé par la Communauté française.</w:t>
      </w:r>
    </w:p>
    <w:p>
      <w:pPr>
        <w:spacing w:after="0" w:line="240" w:lineRule="auto"/>
        <w:jc w:val="both"/>
        <w:rPr>
          <w:rFonts w:ascii="Calibri" w:eastAsia="Times New Roman" w:hAnsi="Calibri" w:cs="Times New Roman"/>
          <w:color w:val="000000"/>
          <w:lang w:eastAsia="fr-FR"/>
        </w:rPr>
      </w:pPr>
    </w:p>
    <w:p>
      <w:pPr>
        <w:spacing w:after="0" w:line="240" w:lineRule="auto"/>
        <w:jc w:val="both"/>
        <w:rPr>
          <w:rFonts w:eastAsia="Times New Roman" w:cs="Times New Roman"/>
          <w:color w:val="000000"/>
          <w:lang w:eastAsia="fr-FR"/>
        </w:rPr>
      </w:pPr>
      <w:r>
        <w:rPr>
          <w:rFonts w:eastAsia="Times New Roman" w:cs="Times New Roman"/>
          <w:color w:val="000000"/>
          <w:lang w:eastAsia="fr-FR"/>
        </w:rPr>
        <w:t>La mission générale de WBE est de participer à l'organisation, à la bonne marche et au développement de ses établissements, au bénéfice de tous ses membres du personnel et, à travers eux, de tous ses élèves et étudiants.</w:t>
      </w: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tbl>
      <w:tblPr>
        <w:tblpPr w:leftFromText="141" w:rightFromText="141" w:vertAnchor="text" w:horzAnchor="margin" w:tblpXSpec="center" w:tblpY="-911"/>
        <w:tblW w:w="8673" w:type="dxa"/>
        <w:shd w:val="clear" w:color="auto" w:fill="C0C0C0"/>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C9282D"/>
            <w:vAlign w:val="center"/>
          </w:tcPr>
          <w:p>
            <w:pPr>
              <w:tabs>
                <w:tab w:val="left" w:pos="1985"/>
              </w:tabs>
              <w:spacing w:after="0" w:line="240" w:lineRule="auto"/>
              <w:ind w:left="181"/>
              <w:jc w:val="center"/>
              <w:rPr>
                <w:rFonts w:ascii="Calibri" w:eastAsia="Times New Roman" w:hAnsi="Calibri" w:cs="Times New Roman"/>
                <w:b/>
                <w:color w:val="FFFFFF"/>
                <w:sz w:val="20"/>
                <w:szCs w:val="20"/>
                <w:lang w:eastAsia="fr-FR"/>
              </w:rPr>
            </w:pPr>
            <w:r>
              <w:rPr>
                <w:rFonts w:ascii="Calibri" w:eastAsia="Times New Roman" w:hAnsi="Calibri" w:cs="Times New Roman"/>
                <w:b/>
                <w:color w:val="FFFFFF"/>
                <w:sz w:val="20"/>
                <w:szCs w:val="20"/>
                <w:lang w:eastAsia="fr-FR"/>
              </w:rPr>
              <w:lastRenderedPageBreak/>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ascii="Calibri" w:eastAsia="Times New Roman" w:hAnsi="Calibri" w:cs="Times New Roman"/>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ascii="Calibri" w:eastAsia="Times New Roman" w:hAnsi="Calibri" w:cs="Times New Roman"/>
                <w:sz w:val="20"/>
                <w:szCs w:val="20"/>
                <w:lang w:eastAsia="fr-FR"/>
              </w:rPr>
              <w:t>Profil de compétence</w:t>
            </w:r>
          </w:p>
        </w:tc>
      </w:tr>
    </w:tbl>
    <w:p>
      <w:pPr>
        <w:shd w:val="clear" w:color="auto" w:fill="C9282D"/>
        <w:tabs>
          <w:tab w:val="left" w:pos="1985"/>
        </w:tabs>
        <w:spacing w:after="0" w:line="240" w:lineRule="auto"/>
        <w:jc w:val="center"/>
        <w:rPr>
          <w:rFonts w:ascii="Calibri" w:eastAsia="Times New Roman" w:hAnsi="Calibri" w:cs="Times New Roman"/>
          <w:i/>
          <w:color w:val="FFFFFF" w:themeColor="background1"/>
          <w:sz w:val="28"/>
          <w:lang w:eastAsia="fr-FR"/>
        </w:rPr>
      </w:pPr>
      <w:r>
        <w:rPr>
          <w:rFonts w:ascii="Calibri" w:eastAsia="Times New Roman" w:hAnsi="Calibri" w:cs="Times New Roman"/>
          <w:i/>
          <w:color w:val="FFFFFF" w:themeColor="background1"/>
          <w:sz w:val="28"/>
          <w:lang w:eastAsia="fr-FR"/>
        </w:rPr>
        <w:t>Charte des valeurs de WBE</w:t>
      </w:r>
    </w:p>
    <w:p>
      <w:pPr>
        <w:spacing w:after="0" w:line="240" w:lineRule="auto"/>
        <w:rPr>
          <w:rFonts w:ascii="Times New Roman" w:eastAsia="Times New Roman" w:hAnsi="Times New Roman" w:cs="Times New Roman"/>
          <w:color w:val="000000"/>
          <w:sz w:val="24"/>
          <w:szCs w:val="24"/>
          <w:lang w:val="fr-FR" w:eastAsia="fr-FR"/>
        </w:rPr>
      </w:pPr>
    </w:p>
    <w:p>
      <w:pPr>
        <w:spacing w:after="0" w:line="240" w:lineRule="auto"/>
        <w:jc w:val="both"/>
        <w:rPr>
          <w:rFonts w:ascii="Calibri" w:eastAsia="Times New Roman" w:hAnsi="Calibri" w:cs="Calibri"/>
          <w:color w:val="000000"/>
          <w:szCs w:val="24"/>
          <w:lang w:val="fr-FR" w:eastAsia="fr-FR"/>
        </w:rPr>
      </w:pPr>
      <w:r>
        <w:rPr>
          <w:rFonts w:ascii="Calibri" w:eastAsia="Times New Roman" w:hAnsi="Calibri" w:cs="Calibri"/>
          <w:color w:val="000000"/>
          <w:szCs w:val="24"/>
          <w:lang w:val="fr-FR" w:eastAsia="fr-FR"/>
        </w:rPr>
        <w:t xml:space="preserve">WBE, par l’engagement et la qualité du travail de ses personnels, offre à chaque étudiant, à chaque élève et à sa famille, la possibilité de vivre et de partager des valeurs essentielles : </w:t>
      </w:r>
    </w:p>
    <w:p>
      <w:pPr>
        <w:spacing w:after="0" w:line="240" w:lineRule="auto"/>
        <w:jc w:val="both"/>
        <w:rPr>
          <w:rFonts w:ascii="Calibri" w:eastAsia="Times New Roman" w:hAnsi="Calibri" w:cs="Calibri"/>
          <w:color w:val="000000"/>
          <w:szCs w:val="24"/>
          <w:lang w:val="fr-FR" w:eastAsia="fr-FR"/>
        </w:rPr>
      </w:pPr>
    </w:p>
    <w:p>
      <w:pPr>
        <w:spacing w:after="0" w:line="240" w:lineRule="auto"/>
        <w:jc w:val="both"/>
        <w:rPr>
          <w:rFonts w:ascii="Calibri" w:eastAsia="Times New Roman" w:hAnsi="Calibri" w:cs="Calibri"/>
          <w:b/>
          <w:bCs/>
          <w:i/>
          <w:color w:val="000000"/>
          <w:szCs w:val="27"/>
          <w:lang w:val="fr-FR" w:eastAsia="fr-FR"/>
        </w:rPr>
      </w:pPr>
      <w:r>
        <w:rPr>
          <w:rFonts w:ascii="Calibri" w:eastAsia="Times New Roman" w:hAnsi="Calibri" w:cs="Calibri"/>
          <w:b/>
          <w:bCs/>
          <w:i/>
          <w:color w:val="000000"/>
          <w:szCs w:val="27"/>
          <w:lang w:val="fr-FR" w:eastAsia="fr-FR"/>
        </w:rPr>
        <w:t>Démocratie</w:t>
      </w:r>
    </w:p>
    <w:p>
      <w:pPr>
        <w:spacing w:after="0" w:line="240" w:lineRule="auto"/>
        <w:jc w:val="both"/>
        <w:rPr>
          <w:rFonts w:ascii="Calibri" w:eastAsia="Times New Roman" w:hAnsi="Calibri" w:cs="Calibri"/>
          <w:color w:val="000000"/>
          <w:szCs w:val="27"/>
          <w:lang w:val="fr-FR" w:eastAsia="fr-FR"/>
        </w:rPr>
      </w:pPr>
      <w:r>
        <w:rPr>
          <w:rFonts w:ascii="Calibri" w:eastAsia="Times New Roman" w:hAnsi="Calibri" w:cs="Calibri"/>
          <w:color w:val="000000"/>
          <w:szCs w:val="27"/>
          <w:lang w:val="fr-FR" w:eastAsia="fr-FR"/>
        </w:rPr>
        <w:t>WBE forme les élèves et les étudiants au respect des Libertés et des Droits fondamentaux de l’Homme, de la Femme et de l’Enfant. Il suscite l’adhésion des élèves et des étudiants à l’exercice de leur libre arbitre par le développement de connaissances raisonnées et l’exercice de l’esprit critique.</w:t>
      </w:r>
    </w:p>
    <w:p>
      <w:pPr>
        <w:spacing w:after="0" w:line="240" w:lineRule="auto"/>
        <w:jc w:val="both"/>
        <w:rPr>
          <w:rFonts w:ascii="Calibri" w:eastAsia="Times New Roman" w:hAnsi="Calibri" w:cs="Calibri"/>
          <w:color w:val="000000"/>
          <w:szCs w:val="27"/>
          <w:lang w:val="fr-FR" w:eastAsia="fr-FR"/>
        </w:rPr>
      </w:pPr>
    </w:p>
    <w:p>
      <w:pPr>
        <w:spacing w:after="0" w:line="240" w:lineRule="auto"/>
        <w:jc w:val="both"/>
        <w:rPr>
          <w:rFonts w:ascii="Calibri" w:eastAsia="Times New Roman" w:hAnsi="Calibri" w:cs="Calibri"/>
          <w:b/>
          <w:bCs/>
          <w:i/>
          <w:color w:val="000000"/>
          <w:szCs w:val="27"/>
          <w:lang w:val="fr-FR" w:eastAsia="fr-FR"/>
        </w:rPr>
      </w:pPr>
      <w:r>
        <w:rPr>
          <w:rFonts w:ascii="Calibri" w:eastAsia="Times New Roman" w:hAnsi="Calibri" w:cs="Calibri"/>
          <w:b/>
          <w:bCs/>
          <w:i/>
          <w:color w:val="000000"/>
          <w:szCs w:val="27"/>
          <w:lang w:val="fr-FR" w:eastAsia="fr-FR"/>
        </w:rPr>
        <w:t>Ouverture et démarche scientifique</w:t>
      </w:r>
    </w:p>
    <w:p>
      <w:pPr>
        <w:spacing w:after="0" w:line="240" w:lineRule="auto"/>
        <w:jc w:val="both"/>
        <w:rPr>
          <w:rFonts w:ascii="Calibri" w:eastAsia="Times New Roman" w:hAnsi="Calibri" w:cs="Calibri"/>
          <w:color w:val="000000"/>
          <w:szCs w:val="27"/>
          <w:lang w:val="fr-FR" w:eastAsia="fr-FR"/>
        </w:rPr>
      </w:pPr>
      <w:r>
        <w:rPr>
          <w:rFonts w:ascii="Calibri" w:eastAsia="Times New Roman" w:hAnsi="Calibri" w:cs="Calibri"/>
          <w:color w:val="000000"/>
          <w:szCs w:val="27"/>
          <w:lang w:val="fr-FR" w:eastAsia="fr-FR"/>
        </w:rPr>
        <w:t>WBE forme des citoyens libres, responsables, ouverts sur le monde et sa diversité culturelle. L’apprentissage de la citoyenneté s’opère au travers d’une culture du respect, de la compréhension de l’autre et de la solidarité avec autrui.</w:t>
      </w:r>
    </w:p>
    <w:p>
      <w:pPr>
        <w:shd w:val="clear" w:color="auto" w:fill="FFFFFF"/>
        <w:spacing w:after="150" w:line="240" w:lineRule="auto"/>
        <w:jc w:val="both"/>
        <w:rPr>
          <w:rFonts w:ascii="Calibri" w:eastAsia="Times New Roman" w:hAnsi="Calibri" w:cs="Calibri"/>
          <w:color w:val="000000"/>
          <w:szCs w:val="27"/>
          <w:lang w:eastAsia="fr-BE"/>
        </w:rPr>
      </w:pPr>
      <w:r>
        <w:rPr>
          <w:rFonts w:ascii="Calibri" w:eastAsia="Times New Roman" w:hAnsi="Calibri" w:cs="Calibri"/>
          <w:color w:val="000000"/>
          <w:szCs w:val="27"/>
          <w:lang w:eastAsia="fr-BE"/>
        </w:rPr>
        <w:t>Il développe le goût des élèves et des étudiants à rechercher la vérité avec une constante honnêteté intellectuelle, toute de rigueur, d’objectivité, de rationalité et de tolérance.</w:t>
      </w:r>
    </w:p>
    <w:p>
      <w:pPr>
        <w:shd w:val="clear" w:color="auto" w:fill="FFFFFF"/>
        <w:spacing w:after="0" w:line="240" w:lineRule="auto"/>
        <w:jc w:val="both"/>
        <w:rPr>
          <w:rFonts w:ascii="Calibri" w:eastAsia="Times New Roman" w:hAnsi="Calibri" w:cs="Calibri"/>
          <w:b/>
          <w:bCs/>
          <w:i/>
          <w:color w:val="000000"/>
          <w:szCs w:val="27"/>
          <w:lang w:eastAsia="fr-BE"/>
        </w:rPr>
      </w:pPr>
      <w:r>
        <w:rPr>
          <w:rFonts w:ascii="Calibri" w:eastAsia="Times New Roman" w:hAnsi="Calibri" w:cs="Calibri"/>
          <w:b/>
          <w:bCs/>
          <w:i/>
          <w:color w:val="000000"/>
          <w:szCs w:val="27"/>
          <w:lang w:eastAsia="fr-BE"/>
        </w:rPr>
        <w:t>Respect et neutralité</w:t>
      </w:r>
    </w:p>
    <w:p>
      <w:pPr>
        <w:shd w:val="clear" w:color="auto" w:fill="FFFFFF"/>
        <w:spacing w:after="0" w:line="240" w:lineRule="auto"/>
        <w:jc w:val="both"/>
        <w:rPr>
          <w:rFonts w:ascii="Calibri" w:eastAsia="Times New Roman" w:hAnsi="Calibri" w:cs="Calibri"/>
          <w:color w:val="000000"/>
          <w:szCs w:val="27"/>
          <w:lang w:eastAsia="fr-BE"/>
        </w:rPr>
      </w:pPr>
      <w:r>
        <w:rPr>
          <w:rFonts w:ascii="Calibri" w:eastAsia="Times New Roman" w:hAnsi="Calibri" w:cs="Calibri"/>
          <w:color w:val="000000"/>
          <w:szCs w:val="27"/>
          <w:lang w:eastAsia="fr-BE"/>
        </w:rPr>
        <w:t>WBE accueille chaque élève et chaque étudiant sans discrimination, dans le respect du règlement de ses établissements scolaires. Il développe chez ceux-ci la liberté de conscience, de pensée, et la leur  garantit. Il stimule leur attachement à user de la liberté d’expression sans jamais dénigrer ni les personnes, ni les savoirs.</w:t>
      </w:r>
    </w:p>
    <w:p>
      <w:pPr>
        <w:shd w:val="clear" w:color="auto" w:fill="FFFFFF"/>
        <w:spacing w:after="0" w:line="240" w:lineRule="auto"/>
        <w:jc w:val="both"/>
        <w:rPr>
          <w:rFonts w:ascii="Calibri" w:eastAsia="Times New Roman" w:hAnsi="Calibri" w:cs="Calibri"/>
          <w:b/>
          <w:bCs/>
          <w:i/>
          <w:color w:val="000000"/>
          <w:szCs w:val="27"/>
          <w:lang w:eastAsia="fr-BE"/>
        </w:rPr>
      </w:pPr>
    </w:p>
    <w:p>
      <w:pPr>
        <w:shd w:val="clear" w:color="auto" w:fill="FFFFFF"/>
        <w:spacing w:after="0" w:line="240" w:lineRule="auto"/>
        <w:jc w:val="both"/>
        <w:rPr>
          <w:rFonts w:ascii="Calibri" w:eastAsia="Times New Roman" w:hAnsi="Calibri" w:cs="Calibri"/>
          <w:b/>
          <w:bCs/>
          <w:i/>
          <w:color w:val="000000"/>
          <w:szCs w:val="27"/>
          <w:lang w:eastAsia="fr-BE"/>
        </w:rPr>
      </w:pPr>
      <w:r>
        <w:rPr>
          <w:rFonts w:ascii="Calibri" w:eastAsia="Times New Roman" w:hAnsi="Calibri" w:cs="Calibri"/>
          <w:b/>
          <w:bCs/>
          <w:i/>
          <w:color w:val="000000"/>
          <w:szCs w:val="27"/>
          <w:lang w:eastAsia="fr-BE"/>
        </w:rPr>
        <w:t>Emancipation sociale</w:t>
      </w:r>
    </w:p>
    <w:p>
      <w:pPr>
        <w:shd w:val="clear" w:color="auto" w:fill="FFFFFF"/>
        <w:spacing w:after="150" w:line="240" w:lineRule="auto"/>
        <w:jc w:val="both"/>
        <w:rPr>
          <w:rFonts w:ascii="Calibri" w:eastAsia="Times New Roman" w:hAnsi="Calibri" w:cs="Calibri"/>
          <w:color w:val="000000"/>
          <w:szCs w:val="27"/>
          <w:lang w:eastAsia="fr-BE"/>
        </w:rPr>
      </w:pPr>
      <w:r>
        <w:rPr>
          <w:rFonts w:ascii="Calibri" w:eastAsia="Times New Roman" w:hAnsi="Calibri" w:cs="Calibri"/>
          <w:color w:val="000000"/>
          <w:szCs w:val="27"/>
          <w:lang w:eastAsia="fr-BE"/>
        </w:rPr>
        <w:t>WBE travaille au développement libre et graduel de la personnalité de chaque élève et de chaque étudiant. Il vise à les amener à s’approprier les savoirs et à acquérir les compétences pour leur permettre de prendre une place active dans la vie économique, sociale et culturelle. </w:t>
      </w:r>
      <w:r>
        <w:rPr>
          <w:rFonts w:ascii="Calibri" w:eastAsia="Times New Roman" w:hAnsi="Calibri" w:cs="Calibri"/>
          <w:color w:val="000000"/>
          <w:szCs w:val="27"/>
          <w:lang w:eastAsia="fr-BE"/>
        </w:rPr>
        <w:tab/>
      </w:r>
      <w:r>
        <w:rPr>
          <w:rFonts w:ascii="Calibri" w:eastAsia="Times New Roman" w:hAnsi="Calibri" w:cs="Calibri"/>
          <w:color w:val="000000"/>
          <w:szCs w:val="27"/>
          <w:lang w:eastAsia="fr-BE"/>
        </w:rPr>
        <w:br/>
        <w:t>Actif face aux inégalités sociales, WBE soutient les moins favorisés afin qu’aucun choix ne leur soit interdit pour des raisons liées à leur milieu d’origine.</w:t>
      </w:r>
      <w:r>
        <w:rPr>
          <w:rFonts w:ascii="Calibri" w:eastAsia="Times New Roman" w:hAnsi="Calibri" w:cs="Calibri"/>
          <w:color w:val="000000"/>
          <w:szCs w:val="27"/>
          <w:lang w:eastAsia="fr-BE"/>
        </w:rPr>
        <w:tab/>
      </w:r>
      <w:r>
        <w:rPr>
          <w:rFonts w:ascii="Calibri" w:eastAsia="Times New Roman" w:hAnsi="Calibri" w:cs="Calibri"/>
          <w:color w:val="000000"/>
          <w:szCs w:val="27"/>
          <w:lang w:eastAsia="fr-BE"/>
        </w:rPr>
        <w:br/>
        <w:t>Confiants en eux, conscients de leurs potentialités, l’élève et l’étudiant construisent leur émancipation intellectuelle, gage de leur émancipation sociale.</w:t>
      </w: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spacing w:after="0" w:line="240" w:lineRule="auto"/>
        <w:rPr>
          <w:rFonts w:ascii="Calibri" w:eastAsia="Times New Roman" w:hAnsi="Calibri" w:cs="Times New Roman"/>
          <w:color w:val="000000"/>
          <w:lang w:eastAsia="fr-FR"/>
        </w:rPr>
      </w:pPr>
      <w:r>
        <w:rPr>
          <w:rFonts w:ascii="Calibri" w:eastAsia="Times New Roman" w:hAnsi="Calibri" w:cs="Times New Roman"/>
          <w:color w:val="000000"/>
          <w:lang w:eastAsia="fr-FR"/>
        </w:rPr>
        <w:br w:type="page"/>
      </w:r>
    </w:p>
    <w:tbl>
      <w:tblPr>
        <w:tblpPr w:leftFromText="141" w:rightFromText="141" w:vertAnchor="text" w:horzAnchor="margin" w:tblpY="-743"/>
        <w:tblW w:w="8673" w:type="dxa"/>
        <w:shd w:val="clear" w:color="auto" w:fill="C0C0C0"/>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ascii="Calibri" w:eastAsia="Times New Roman" w:hAnsi="Calibri" w:cs="Times New Roman"/>
                <w:sz w:val="20"/>
                <w:szCs w:val="20"/>
                <w:lang w:eastAsia="fr-FR"/>
              </w:rPr>
              <w:lastRenderedPageBreak/>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ascii="Calibri" w:eastAsia="Times New Roman" w:hAnsi="Calibri"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ascii="Calibri" w:eastAsia="Times New Roman" w:hAnsi="Calibri" w:cs="Times New Roman"/>
                <w:sz w:val="20"/>
                <w:szCs w:val="20"/>
                <w:lang w:eastAsia="fr-FR"/>
              </w:rPr>
              <w:t>Profil de compétence</w:t>
            </w:r>
          </w:p>
        </w:tc>
      </w:tr>
    </w:tbl>
    <w:p>
      <w:pPr>
        <w:tabs>
          <w:tab w:val="left" w:pos="1985"/>
        </w:tabs>
        <w:spacing w:after="0" w:line="240" w:lineRule="auto"/>
        <w:jc w:val="both"/>
        <w:rPr>
          <w:rFonts w:ascii="Calibri" w:eastAsia="Times New Roman" w:hAnsi="Calibri" w:cs="Times New Roman"/>
          <w:lang w:eastAsia="fr-FR"/>
        </w:rPr>
      </w:pPr>
      <w:r>
        <w:rPr>
          <w:rFonts w:ascii="Calibri" w:eastAsia="Times New Roman" w:hAnsi="Calibri" w:cs="Times New Roman"/>
          <w:lang w:eastAsia="fr-FR"/>
        </w:rPr>
        <w:t xml:space="preserve">En tant que </w:t>
      </w:r>
      <w:r>
        <w:rPr>
          <w:rFonts w:ascii="Calibri" w:eastAsia="Times New Roman" w:hAnsi="Calibri" w:cs="Times New Roman"/>
          <w:b/>
          <w:lang w:eastAsia="fr-FR"/>
        </w:rPr>
        <w:t>Directeur/Directrice</w:t>
      </w:r>
      <w:r>
        <w:rPr>
          <w:rFonts w:ascii="Calibri" w:eastAsia="Times New Roman" w:hAnsi="Calibri" w:cs="Times New Roman"/>
          <w:lang w:eastAsia="fr-FR"/>
        </w:rPr>
        <w:t xml:space="preserve">, vous pouvez être amené à : </w:t>
      </w:r>
      <w:r>
        <w:rPr>
          <w:rFonts w:ascii="Calibri" w:eastAsia="Times New Roman" w:hAnsi="Calibri" w:cs="Times New Roman"/>
          <w:lang w:eastAsia="fr-FR"/>
        </w:rPr>
        <w:tab/>
      </w:r>
      <w:r>
        <w:rPr>
          <w:rFonts w:ascii="Calibri" w:eastAsia="Times New Roman" w:hAnsi="Calibri" w:cs="Times New Roman"/>
          <w:lang w:eastAsia="fr-FR"/>
        </w:rPr>
        <w:br/>
      </w:r>
    </w:p>
    <w:p>
      <w:pPr>
        <w:shd w:val="clear" w:color="auto" w:fill="F4AA00"/>
        <w:tabs>
          <w:tab w:val="left" w:pos="1985"/>
        </w:tabs>
        <w:spacing w:after="0" w:line="240" w:lineRule="auto"/>
        <w:ind w:left="-70"/>
        <w:jc w:val="center"/>
        <w:rPr>
          <w:rFonts w:ascii="Calibri" w:eastAsia="Times New Roman" w:hAnsi="Calibri" w:cs="Calibri"/>
          <w:bCs/>
          <w:i/>
          <w:sz w:val="28"/>
          <w:shd w:val="clear" w:color="auto" w:fill="FBD4B4"/>
          <w:lang w:eastAsia="fr-FR"/>
        </w:rPr>
      </w:pPr>
      <w:r>
        <w:rPr>
          <w:rFonts w:ascii="Calibri" w:eastAsia="Times New Roman" w:hAnsi="Calibri" w:cs="Calibri"/>
          <w:bCs/>
          <w:i/>
          <w:sz w:val="28"/>
          <w:shd w:val="clear" w:color="auto" w:fill="F4AA00"/>
          <w:lang w:eastAsia="fr-FR"/>
        </w:rPr>
        <w:t xml:space="preserve"> La production de sens</w:t>
      </w:r>
    </w:p>
    <w:p>
      <w:pPr>
        <w:shd w:val="clear" w:color="auto" w:fill="FFFFFF"/>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b/>
          <w:bCs/>
          <w:lang w:eastAsia="fr-FR"/>
        </w:rPr>
      </w:pPr>
      <w:r>
        <w:rPr>
          <w:rFonts w:ascii="Calibri" w:eastAsia="Times New Roman" w:hAnsi="Calibri" w:cs="Calibri"/>
          <w:bCs/>
          <w:lang w:eastAsia="fr-FR"/>
        </w:rPr>
        <w:t>Expliciter régulièrement aux acteurs de l’école sur quelles valeurs se fonde l’action pédagogique et éducative, développée au service des apprenants, dans le cadre du projet du pouvoir organisateur et donner ainsi du sens à l’action collective et aux actions individuelles, en référence à ces valeurs ainsi que, selon le cas, aux missions prioritaires et particulières du système éducatif de la Communauté française ou aux finalités de l’enseignement de promotion sociale et de l’enseignement secondaire artistique à horaire réduit</w:t>
      </w:r>
      <w:r>
        <w:rPr>
          <w:rFonts w:ascii="Calibri" w:eastAsia="Times New Roman" w:hAnsi="Calibri" w:cs="Calibri"/>
          <w:b/>
          <w:bCs/>
          <w:lang w:eastAsia="fr-FR"/>
        </w:rPr>
        <w:t>.</w:t>
      </w: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BE"/>
        </w:rPr>
      </w:pPr>
      <w:r>
        <w:rPr>
          <w:rFonts w:ascii="Calibri" w:eastAsia="Times New Roman" w:hAnsi="Calibri" w:cs="Calibri"/>
          <w:lang w:eastAsia="fr-FR"/>
        </w:rPr>
        <w:t>Incarner les valeurs fondant l’action pédagogique et éducative prônée par le réseau, les finalités et les objectifs visés dans l’école.</w:t>
      </w: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BE"/>
        </w:rPr>
      </w:pPr>
      <w:r>
        <w:rPr>
          <w:rFonts w:ascii="Calibri" w:eastAsia="Times New Roman" w:hAnsi="Calibri" w:cs="Calibri"/>
          <w:lang w:eastAsia="fr-FR"/>
        </w:rPr>
        <w:t xml:space="preserve">Confronter régulièrement les processus et les résultats de l’action aux valeurs, aux finalités et aux objectifs annoncés. </w:t>
      </w:r>
      <w:r>
        <w:rPr>
          <w:rFonts w:ascii="Calibri" w:eastAsia="Times New Roman" w:hAnsi="Calibri" w:cs="Calibri"/>
          <w:lang w:eastAsia="fr-FR"/>
        </w:rPr>
        <w:tab/>
      </w:r>
      <w:r>
        <w:rPr>
          <w:rFonts w:ascii="Calibri" w:eastAsia="Times New Roman" w:hAnsi="Calibri" w:cs="Calibri"/>
          <w:lang w:eastAsia="fr-FR"/>
        </w:rPr>
        <w:tab/>
      </w:r>
      <w:r>
        <w:rPr>
          <w:rFonts w:ascii="Calibri" w:eastAsia="Times New Roman" w:hAnsi="Calibri" w:cs="Calibri"/>
          <w:lang w:eastAsia="fr-FR"/>
        </w:rPr>
        <w:br/>
      </w:r>
    </w:p>
    <w:p>
      <w:pPr>
        <w:tabs>
          <w:tab w:val="left" w:pos="1985"/>
        </w:tabs>
        <w:spacing w:after="0" w:line="240" w:lineRule="auto"/>
        <w:ind w:left="-70"/>
        <w:jc w:val="both"/>
        <w:rPr>
          <w:rFonts w:eastAsia="Times New Roman" w:cs="Calibri"/>
          <w:u w:val="single"/>
          <w:lang w:eastAsia="fr-FR"/>
        </w:rPr>
      </w:pPr>
      <w:r>
        <w:rPr>
          <w:rFonts w:eastAsia="Times New Roman" w:cs="Calibri"/>
          <w:u w:val="single"/>
          <w:lang w:eastAsia="fr-FR"/>
        </w:rPr>
        <w:t xml:space="preserve">Responsabilités spécifiques pour l’EAFC Hesbaye-Condroz de Waremme : </w:t>
      </w:r>
    </w:p>
    <w:p>
      <w:pPr>
        <w:tabs>
          <w:tab w:val="left" w:pos="1985"/>
        </w:tabs>
        <w:spacing w:after="0" w:line="240" w:lineRule="auto"/>
        <w:ind w:left="-70"/>
        <w:jc w:val="both"/>
        <w:rPr>
          <w:rFonts w:eastAsia="Times New Roman" w:cs="Calibri"/>
          <w:lang w:eastAsia="fr-FR"/>
        </w:rPr>
      </w:pPr>
      <w:r>
        <w:rPr>
          <w:rFonts w:eastAsia="Times New Roman" w:cs="Calibri"/>
          <w:lang w:eastAsia="fr-FR"/>
        </w:rPr>
        <w:t xml:space="preserve">Le Directeur/ la Directrice doit : </w:t>
      </w:r>
    </w:p>
    <w:p>
      <w:pPr>
        <w:tabs>
          <w:tab w:val="left" w:pos="1985"/>
        </w:tabs>
        <w:spacing w:after="0" w:line="240" w:lineRule="auto"/>
        <w:ind w:left="-70"/>
        <w:jc w:val="both"/>
        <w:rPr>
          <w:rFonts w:ascii="Calibri" w:eastAsia="Times New Roman" w:hAnsi="Calibri" w:cs="Calibri"/>
          <w:lang w:eastAsia="fr-BE"/>
        </w:rPr>
      </w:pPr>
      <w:r>
        <w:rPr>
          <w:rFonts w:ascii="Calibri" w:eastAsia="Times New Roman" w:hAnsi="Calibri" w:cs="Calibri"/>
          <w:lang w:eastAsia="fr-BE"/>
        </w:rPr>
        <w:t>-  Permettre aux apprenants d’augmenter leurs compétences afin de favoriser la remise sur le marché du travail du public sans emploi de l’établissement.</w:t>
      </w: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shd w:val="clear" w:color="auto" w:fill="F4AA00"/>
        <w:tabs>
          <w:tab w:val="left" w:pos="1985"/>
        </w:tabs>
        <w:spacing w:after="0" w:line="240" w:lineRule="auto"/>
        <w:ind w:left="-70"/>
        <w:jc w:val="center"/>
        <w:rPr>
          <w:rFonts w:ascii="Calibri" w:eastAsia="Times New Roman" w:hAnsi="Calibri" w:cs="Calibri"/>
          <w:bCs/>
          <w:sz w:val="24"/>
          <w:lang w:eastAsia="fr-FR"/>
        </w:rPr>
      </w:pPr>
      <w:r>
        <w:rPr>
          <w:rFonts w:ascii="Calibri" w:eastAsia="Times New Roman" w:hAnsi="Calibri" w:cs="Calibri"/>
          <w:bCs/>
          <w:i/>
          <w:sz w:val="28"/>
          <w:shd w:val="clear" w:color="auto" w:fill="F4AA00"/>
          <w:lang w:eastAsia="fr-FR"/>
        </w:rPr>
        <w:t xml:space="preserve"> Le pilotage stratégique et opérationnel global de l’école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Dans l’enseignement de promotion sociale, être le garant du projet pédagogique du pouvoir organisateur défini dans le respect des finalités de cet enseignement.</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Assumer l’interface entre le Pouvoir organisateur et l’ensemble des acteurs de l’école.</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Participer, avec les acteurs de l’école, à la co-construction de la culture d’école et/ou la développer en cohérence avec les valeurs du système éducatif et celles du Pouvoir organisateur.</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Endosser le rôle de leader pédagogique et éducatif dans tout processus décisionnel.</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Favoriser une réflexion stratégique et prospective sur le devenir de l’école.</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Faire de l’école une organisation apprenante et y encourager l’innovation, notamment didactique et pédagogique.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Veiller, le cas échéant, à la bonne organisation des organes locaux de concertation sociale légaux et conventionnels.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eastAsia="Times New Roman" w:cs="Calibri"/>
          <w:u w:val="single"/>
          <w:lang w:eastAsia="fr-FR"/>
        </w:rPr>
      </w:pPr>
      <w:r>
        <w:rPr>
          <w:rFonts w:eastAsia="Times New Roman" w:cs="Calibri"/>
          <w:u w:val="single"/>
          <w:lang w:eastAsia="fr-FR"/>
        </w:rPr>
        <w:t xml:space="preserve">Responsabilités spécifiques pour l’EAFC Hesbaye-Condroz de Waremme : </w:t>
      </w:r>
    </w:p>
    <w:p>
      <w:pPr>
        <w:tabs>
          <w:tab w:val="left" w:pos="1985"/>
        </w:tabs>
        <w:spacing w:after="0" w:line="240" w:lineRule="auto"/>
        <w:ind w:left="-70"/>
        <w:jc w:val="both"/>
        <w:rPr>
          <w:rFonts w:eastAsia="Times New Roman" w:cs="Calibri"/>
          <w:lang w:eastAsia="fr-FR"/>
        </w:rPr>
      </w:pPr>
      <w:r>
        <w:rPr>
          <w:rFonts w:eastAsia="Times New Roman" w:cs="Calibri"/>
          <w:lang w:eastAsia="fr-FR"/>
        </w:rPr>
        <w:t xml:space="preserve">Le Directeur/ la Directrice doit : </w:t>
      </w:r>
    </w:p>
    <w:p>
      <w:pPr>
        <w:tabs>
          <w:tab w:val="left" w:pos="1985"/>
        </w:tabs>
        <w:spacing w:after="0" w:line="240" w:lineRule="auto"/>
        <w:ind w:left="-70"/>
        <w:jc w:val="both"/>
        <w:rPr>
          <w:rFonts w:ascii="Calibri" w:eastAsia="Times New Roman" w:hAnsi="Calibri" w:cs="Calibri"/>
          <w:lang w:eastAsia="fr-BE"/>
        </w:rPr>
      </w:pPr>
      <w:r>
        <w:rPr>
          <w:rFonts w:ascii="Calibri" w:eastAsia="Times New Roman" w:hAnsi="Calibri" w:cs="Calibri"/>
          <w:lang w:eastAsia="fr-BE"/>
        </w:rPr>
        <w:t>- Assurer un véritable leadership partagé afin de permettre une participation plus active dans la co-construction des projets de l’école avec les équipes qui sont demandeuses.</w:t>
      </w:r>
    </w:p>
    <w:p>
      <w:pPr>
        <w:tabs>
          <w:tab w:val="left" w:pos="1985"/>
        </w:tabs>
        <w:spacing w:after="0" w:line="240" w:lineRule="auto"/>
        <w:jc w:val="both"/>
        <w:rPr>
          <w:rFonts w:ascii="Calibri" w:eastAsia="Times New Roman" w:hAnsi="Calibri" w:cs="Calibri"/>
          <w:lang w:eastAsia="fr-BE"/>
        </w:rPr>
      </w:pPr>
    </w:p>
    <w:p>
      <w:pPr>
        <w:tabs>
          <w:tab w:val="left" w:pos="1985"/>
        </w:tabs>
        <w:spacing w:after="0" w:line="240" w:lineRule="auto"/>
        <w:jc w:val="both"/>
        <w:rPr>
          <w:rFonts w:ascii="Calibri" w:eastAsia="Times New Roman" w:hAnsi="Calibri" w:cs="Calibri"/>
          <w:lang w:eastAsia="fr-BE"/>
        </w:rPr>
      </w:pPr>
    </w:p>
    <w:p>
      <w:pPr>
        <w:tabs>
          <w:tab w:val="left" w:pos="1985"/>
        </w:tabs>
        <w:spacing w:after="0" w:line="240" w:lineRule="auto"/>
        <w:jc w:val="both"/>
        <w:rPr>
          <w:rFonts w:ascii="Calibri" w:eastAsia="Times New Roman" w:hAnsi="Calibri" w:cs="Calibri"/>
          <w:lang w:eastAsia="fr-BE"/>
        </w:rPr>
      </w:pPr>
    </w:p>
    <w:p>
      <w:pPr>
        <w:tabs>
          <w:tab w:val="left" w:pos="1985"/>
        </w:tabs>
        <w:spacing w:after="0" w:line="240" w:lineRule="auto"/>
        <w:jc w:val="both"/>
        <w:rPr>
          <w:rFonts w:ascii="Calibri" w:eastAsia="Times New Roman" w:hAnsi="Calibri" w:cs="Calibri"/>
          <w:lang w:eastAsia="fr-BE"/>
        </w:rPr>
      </w:pPr>
    </w:p>
    <w:p>
      <w:pPr>
        <w:tabs>
          <w:tab w:val="left" w:pos="1985"/>
        </w:tabs>
        <w:spacing w:after="0" w:line="240" w:lineRule="auto"/>
        <w:jc w:val="both"/>
        <w:rPr>
          <w:rFonts w:ascii="Calibri" w:eastAsia="Times New Roman" w:hAnsi="Calibri" w:cs="Calibri"/>
          <w:lang w:eastAsia="fr-BE"/>
        </w:rPr>
      </w:pPr>
    </w:p>
    <w:p>
      <w:pPr>
        <w:tabs>
          <w:tab w:val="left" w:pos="1985"/>
        </w:tabs>
        <w:spacing w:after="0" w:line="240" w:lineRule="auto"/>
        <w:jc w:val="both"/>
        <w:rPr>
          <w:rFonts w:ascii="Calibri" w:eastAsia="Times New Roman" w:hAnsi="Calibri" w:cs="Calibri"/>
          <w:lang w:eastAsia="fr-BE"/>
        </w:rPr>
      </w:pPr>
    </w:p>
    <w:p>
      <w:pPr>
        <w:tabs>
          <w:tab w:val="left" w:pos="1985"/>
        </w:tabs>
        <w:spacing w:after="0" w:line="240" w:lineRule="auto"/>
        <w:jc w:val="both"/>
        <w:rPr>
          <w:rFonts w:ascii="Calibri" w:eastAsia="Times New Roman" w:hAnsi="Calibri" w:cs="Calibri"/>
          <w:lang w:eastAsia="fr-BE"/>
        </w:rPr>
      </w:pPr>
    </w:p>
    <w:p>
      <w:pPr>
        <w:tabs>
          <w:tab w:val="left" w:pos="1985"/>
        </w:tabs>
        <w:spacing w:after="0" w:line="240" w:lineRule="auto"/>
        <w:ind w:left="-70"/>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shd w:val="clear" w:color="auto" w:fill="F4AA00"/>
          <w:lang w:eastAsia="fr-FR"/>
        </w:rPr>
      </w:pPr>
      <w:r>
        <w:rPr>
          <w:rFonts w:ascii="Calibri" w:eastAsia="Times New Roman" w:hAnsi="Calibri" w:cs="Calibri"/>
          <w:bCs/>
          <w:i/>
          <w:sz w:val="28"/>
          <w:shd w:val="clear" w:color="auto" w:fill="F4AA00"/>
          <w:lang w:eastAsia="fr-FR"/>
        </w:rPr>
        <w:lastRenderedPageBreak/>
        <w:t>Le pilotage des actions et des projets pédagogiques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Assurer le soutien et l’accompagnement du parcours scolaire de chacun des apprenants et leur orientation positive.</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S'assurer de l'adéquation entre les méthodes pédagogiques des MDP et les caractéristiques de la population scolaire et les spécificités de la matière/contenu.</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Evaluer la pertinence des méthodes pédagogiques employées au regard des résultats engrangés.</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 xml:space="preserve">Favoriser un leadership pédagogique partagé. </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Assurer le pilotage pédagogique de l’établissement.</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Dans le cadre du leadership pédagogique partagé, contrôler l'avancement, suivre régulièrement la progression des résultats des missions déléguées et si nécessaire ajuster de manière adéquate et cohérente en fonction des objectifs à atteindre.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Dans le cadre du pilotage pédagogique de l’établissement, opérer les réajustements nécessaires  à partir d’évaluations menées sur base des indicateurs retenus. </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Développer des collaborations et des partenariats externes à l’école, notamment avec d’autres écoles, et les partenaires de l’enseignement de promotion sociale, le monde socio-économique, culturel, etc.</w:t>
      </w:r>
    </w:p>
    <w:p>
      <w:pPr>
        <w:tabs>
          <w:tab w:val="left" w:pos="1985"/>
        </w:tabs>
        <w:spacing w:after="0" w:line="240" w:lineRule="auto"/>
        <w:ind w:left="-70"/>
        <w:jc w:val="both"/>
        <w:rPr>
          <w:rFonts w:ascii="Calibri" w:eastAsia="Times New Roman" w:hAnsi="Calibri" w:cs="Calibri"/>
          <w:bCs/>
          <w:color w:val="FFFF00"/>
          <w:lang w:eastAsia="fr-FR"/>
        </w:rPr>
      </w:pPr>
      <w:r>
        <w:rPr>
          <w:rFonts w:ascii="Calibri" w:eastAsia="Times New Roman" w:hAnsi="Calibri" w:cs="Calibri"/>
          <w:bCs/>
          <w:lang w:eastAsia="fr-FR"/>
        </w:rPr>
        <w:t xml:space="preserve">Coopérer avec les acteurs et les instances institués par la Communauté française et le pouvoir organisateur </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Représenter le Pouvoir organisateur auprès des services du Gouvernement et du service général de l’Inspection.</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Inscrire l’action de son école dans le cadre de la politique collective de la zone.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eastAsia="Times New Roman" w:cs="Calibri"/>
          <w:u w:val="single"/>
          <w:lang w:eastAsia="fr-FR"/>
        </w:rPr>
      </w:pPr>
      <w:r>
        <w:rPr>
          <w:rFonts w:eastAsia="Times New Roman" w:cs="Calibri"/>
          <w:u w:val="single"/>
          <w:lang w:eastAsia="fr-FR"/>
        </w:rPr>
        <w:t xml:space="preserve">Responsabilités spécifiques pour l’EAFC Hesbaye-Condroz de Waremme : </w:t>
      </w:r>
    </w:p>
    <w:p>
      <w:pPr>
        <w:tabs>
          <w:tab w:val="left" w:pos="1985"/>
        </w:tabs>
        <w:spacing w:after="0" w:line="240" w:lineRule="auto"/>
        <w:ind w:left="-70"/>
        <w:jc w:val="both"/>
        <w:rPr>
          <w:rFonts w:eastAsia="Times New Roman" w:cs="Calibri"/>
          <w:lang w:eastAsia="fr-FR"/>
        </w:rPr>
      </w:pPr>
      <w:r>
        <w:rPr>
          <w:rFonts w:eastAsia="Times New Roman" w:cs="Calibri"/>
          <w:lang w:eastAsia="fr-FR"/>
        </w:rPr>
        <w:t xml:space="preserve">Le Directeur/ la Directrice doit : </w:t>
      </w:r>
    </w:p>
    <w:p>
      <w:pPr>
        <w:tabs>
          <w:tab w:val="left" w:pos="1985"/>
        </w:tabs>
        <w:spacing w:after="0" w:line="240" w:lineRule="auto"/>
        <w:ind w:left="-70"/>
        <w:jc w:val="both"/>
        <w:rPr>
          <w:rFonts w:ascii="Calibri" w:eastAsia="Times New Roman" w:hAnsi="Calibri" w:cs="Calibri"/>
          <w:lang w:eastAsia="fr-BE"/>
        </w:rPr>
      </w:pPr>
      <w:r>
        <w:rPr>
          <w:rFonts w:ascii="Calibri" w:eastAsia="Times New Roman" w:hAnsi="Calibri" w:cs="Calibri"/>
          <w:lang w:eastAsia="fr-BE"/>
        </w:rPr>
        <w:t>- Mettre en place un complément CESS (pas encore organisé) qui permettrait aux apprenants non titulaires d’accéder au certificat d’enseignement secondaire supérieur.</w:t>
      </w:r>
    </w:p>
    <w:p>
      <w:pPr>
        <w:tabs>
          <w:tab w:val="left" w:pos="1985"/>
        </w:tabs>
        <w:spacing w:after="0" w:line="240" w:lineRule="auto"/>
        <w:ind w:left="-70"/>
        <w:jc w:val="both"/>
        <w:rPr>
          <w:rFonts w:ascii="Calibri" w:eastAsia="Times New Roman" w:hAnsi="Calibri" w:cs="Calibri"/>
          <w:lang w:eastAsia="fr-BE"/>
        </w:rPr>
      </w:pPr>
      <w:r>
        <w:rPr>
          <w:rFonts w:ascii="Calibri" w:eastAsia="Times New Roman" w:hAnsi="Calibri" w:cs="Calibri"/>
          <w:lang w:eastAsia="fr-BE"/>
        </w:rPr>
        <w:t>- Organiser des formations à caractère plus certificatif qu’occupationnel afin de faire face à la demande.</w:t>
      </w:r>
    </w:p>
    <w:p>
      <w:pPr>
        <w:tabs>
          <w:tab w:val="left" w:pos="1985"/>
        </w:tabs>
        <w:spacing w:after="0" w:line="240" w:lineRule="auto"/>
        <w:ind w:left="-70"/>
        <w:jc w:val="both"/>
        <w:rPr>
          <w:rFonts w:ascii="Calibri" w:eastAsia="Times New Roman" w:hAnsi="Calibri" w:cs="Calibri"/>
          <w:lang w:eastAsia="fr-BE"/>
        </w:rPr>
      </w:pPr>
      <w:r>
        <w:rPr>
          <w:rFonts w:ascii="Calibri" w:eastAsia="Times New Roman" w:hAnsi="Calibri" w:cs="Calibri"/>
          <w:lang w:eastAsia="fr-BE"/>
        </w:rPr>
        <w:t>- Formaliser les processus qualité existants pour permettre une meilleure visibilité et la pratique par  toutes les équipes pédagogiques du supérieur et du secondaire.</w:t>
      </w:r>
    </w:p>
    <w:p>
      <w:pPr>
        <w:tabs>
          <w:tab w:val="left" w:pos="1985"/>
        </w:tabs>
        <w:spacing w:after="0" w:line="240" w:lineRule="auto"/>
        <w:ind w:left="-70"/>
        <w:jc w:val="both"/>
        <w:rPr>
          <w:rFonts w:ascii="Calibri" w:eastAsia="Times New Roman" w:hAnsi="Calibri" w:cs="Calibri"/>
          <w:lang w:eastAsia="fr-BE"/>
        </w:rPr>
      </w:pPr>
      <w:r>
        <w:rPr>
          <w:rFonts w:ascii="Calibri" w:eastAsia="Times New Roman" w:hAnsi="Calibri" w:cs="Calibri"/>
          <w:lang w:eastAsia="fr-BE"/>
        </w:rPr>
        <w:t>- Organiser de manière efficiente l’information sur les initiatives pédagogiques et éducatives de divers projets et activités de l’Institut.</w:t>
      </w:r>
    </w:p>
    <w:p>
      <w:pPr>
        <w:tabs>
          <w:tab w:val="left" w:pos="1985"/>
        </w:tabs>
        <w:spacing w:after="0" w:line="240" w:lineRule="auto"/>
        <w:ind w:left="-70"/>
        <w:jc w:val="both"/>
        <w:rPr>
          <w:rFonts w:ascii="Calibri" w:eastAsia="Times New Roman" w:hAnsi="Calibri" w:cs="Calibri"/>
          <w:lang w:eastAsia="fr-BE"/>
        </w:rPr>
      </w:pPr>
    </w:p>
    <w:p>
      <w:pPr>
        <w:tabs>
          <w:tab w:val="left" w:pos="1985"/>
        </w:tabs>
        <w:spacing w:after="0" w:line="240" w:lineRule="auto"/>
        <w:ind w:left="-70"/>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shd w:val="clear" w:color="auto" w:fill="F4AA00"/>
          <w:lang w:eastAsia="fr-FR"/>
        </w:rPr>
      </w:pPr>
      <w:r>
        <w:rPr>
          <w:rFonts w:ascii="Calibri" w:eastAsia="Times New Roman" w:hAnsi="Calibri" w:cs="Calibri"/>
          <w:bCs/>
          <w:i/>
          <w:sz w:val="28"/>
          <w:shd w:val="clear" w:color="auto" w:fill="F4AA00"/>
          <w:lang w:eastAsia="fr-FR"/>
        </w:rPr>
        <w:t>La gestion des ressources et des relations humaines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Organiser les services de l’ensemble des membres du personnel, coordonner leur travail, fixer les objectifs dans le cadre de leurs compétences et des textes qui régissent leur fonction. Assumer en particulier, la responsabilité pédagogique et administrative de décider des horaires et des attributions des membres du personnel.</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 xml:space="preserve">Soutenir le travail en équipe dans une visée de partage de pratiques et d’organisation apprenante. </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Collaborer avec le pouvoir organisateur pour construire, une équipe éducative et enseignante centrée sur l’apprenant, son développement et ses apprentissages.</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Soutenir le développement professionnel des membres du personnel.</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Accompagner les équipes éducatives dans les innovations qu’elles mettent en œuvre et le changement.</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Veiller à l’accueil et à l’intégration des nouveaux membres du personnel ainsi qu’à l’accompagnement des personnels en difficulté.</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Être le représentant du pouvoir organisateur auprès des Services du Gouvernement.</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lastRenderedPageBreak/>
        <w:t>Nouer des contacts avec le monde économique et socioculturel local de même qu’avec des organismes de protection de la jeunesse, d’aide à l’enfance et d’aide à la jeunesse.</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Participer avec le Pouvoir organisateur aux procédures de recrutement des membres du personnel.</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Evaluer les membres du personnel et en rendre compte au Pouvoir organisateur.</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Dans le cadre du soutien au développement professionnel, individuel et collectif, des membres du personnel :</w:t>
      </w:r>
    </w:p>
    <w:p>
      <w:pPr>
        <w:numPr>
          <w:ilvl w:val="0"/>
          <w:numId w:val="40"/>
        </w:numPr>
        <w:tabs>
          <w:tab w:val="left" w:pos="1985"/>
        </w:tabs>
        <w:spacing w:after="0" w:line="240" w:lineRule="auto"/>
        <w:contextualSpacing/>
        <w:jc w:val="both"/>
        <w:rPr>
          <w:rFonts w:ascii="Calibri" w:eastAsia="Times New Roman" w:hAnsi="Calibri" w:cs="Calibri"/>
          <w:bCs/>
          <w:lang w:eastAsia="fr-FR"/>
        </w:rPr>
      </w:pPr>
      <w:r>
        <w:rPr>
          <w:rFonts w:ascii="Calibri" w:eastAsia="Times New Roman" w:hAnsi="Calibri" w:cs="Calibri"/>
          <w:bCs/>
          <w:lang w:eastAsia="fr-FR"/>
        </w:rPr>
        <w:t>construire avec eux un plan de formation collectif pour l’établissement ;</w:t>
      </w:r>
    </w:p>
    <w:p>
      <w:pPr>
        <w:numPr>
          <w:ilvl w:val="0"/>
          <w:numId w:val="40"/>
        </w:numPr>
        <w:tabs>
          <w:tab w:val="left" w:pos="1985"/>
        </w:tabs>
        <w:spacing w:after="0" w:line="240" w:lineRule="auto"/>
        <w:contextualSpacing/>
        <w:jc w:val="both"/>
        <w:rPr>
          <w:rFonts w:ascii="Calibri" w:eastAsia="Times New Roman" w:hAnsi="Calibri" w:cs="Calibri"/>
          <w:bCs/>
          <w:lang w:eastAsia="fr-FR"/>
        </w:rPr>
      </w:pPr>
      <w:r>
        <w:rPr>
          <w:rFonts w:ascii="Calibri" w:eastAsia="Times New Roman" w:hAnsi="Calibri" w:cs="Calibri"/>
          <w:bCs/>
          <w:lang w:eastAsia="fr-FR"/>
        </w:rPr>
        <w:t>les motiver et les accompagner (en particulier les enseignants débutants) ;</w:t>
      </w:r>
    </w:p>
    <w:p>
      <w:pPr>
        <w:numPr>
          <w:ilvl w:val="0"/>
          <w:numId w:val="40"/>
        </w:numPr>
        <w:tabs>
          <w:tab w:val="left" w:pos="1985"/>
        </w:tabs>
        <w:spacing w:after="0" w:line="240" w:lineRule="auto"/>
        <w:contextualSpacing/>
        <w:jc w:val="both"/>
        <w:rPr>
          <w:rFonts w:ascii="Calibri" w:eastAsia="Times New Roman" w:hAnsi="Calibri" w:cs="Calibri"/>
          <w:bCs/>
          <w:lang w:eastAsia="fr-FR"/>
        </w:rPr>
      </w:pPr>
      <w:r>
        <w:rPr>
          <w:rFonts w:ascii="Calibri" w:eastAsia="Times New Roman" w:hAnsi="Calibri" w:cs="Calibri"/>
          <w:bCs/>
          <w:lang w:eastAsia="fr-FR"/>
        </w:rPr>
        <w:t>mener avec eux des entretiens de fonctionnement ;</w:t>
      </w:r>
    </w:p>
    <w:p>
      <w:pPr>
        <w:numPr>
          <w:ilvl w:val="0"/>
          <w:numId w:val="40"/>
        </w:numPr>
        <w:tabs>
          <w:tab w:val="left" w:pos="1985"/>
        </w:tabs>
        <w:spacing w:after="0" w:line="240" w:lineRule="auto"/>
        <w:contextualSpacing/>
        <w:jc w:val="both"/>
        <w:rPr>
          <w:rFonts w:ascii="Calibri" w:eastAsia="Times New Roman" w:hAnsi="Calibri" w:cs="Calibri"/>
          <w:bCs/>
          <w:lang w:eastAsia="fr-FR"/>
        </w:rPr>
      </w:pPr>
      <w:r>
        <w:rPr>
          <w:rFonts w:ascii="Calibri" w:eastAsia="Times New Roman" w:hAnsi="Calibri" w:cs="Calibri"/>
          <w:bCs/>
          <w:lang w:eastAsia="fr-FR"/>
        </w:rPr>
        <w:t>les aider à clarifier le sens de leur action ;</w:t>
      </w:r>
    </w:p>
    <w:p>
      <w:pPr>
        <w:numPr>
          <w:ilvl w:val="0"/>
          <w:numId w:val="40"/>
        </w:numPr>
        <w:tabs>
          <w:tab w:val="left" w:pos="1985"/>
        </w:tabs>
        <w:spacing w:after="0" w:line="240" w:lineRule="auto"/>
        <w:contextualSpacing/>
        <w:jc w:val="both"/>
        <w:rPr>
          <w:rFonts w:ascii="Calibri" w:eastAsia="Times New Roman" w:hAnsi="Calibri" w:cs="Calibri"/>
          <w:bCs/>
          <w:lang w:eastAsia="fr-FR"/>
        </w:rPr>
      </w:pPr>
      <w:r>
        <w:rPr>
          <w:rFonts w:ascii="Calibri" w:eastAsia="Times New Roman" w:hAnsi="Calibri" w:cs="Calibri"/>
          <w:bCs/>
          <w:lang w:eastAsia="fr-FR"/>
        </w:rPr>
        <w:t>participer à l’identification de leurs besoins de formation et en leur facilitant l’accès à la formation en cours de carrière dans le cadre du plan de formation de l’école ;</w:t>
      </w:r>
    </w:p>
    <w:p>
      <w:pPr>
        <w:numPr>
          <w:ilvl w:val="0"/>
          <w:numId w:val="40"/>
        </w:numPr>
        <w:tabs>
          <w:tab w:val="left" w:pos="1985"/>
        </w:tabs>
        <w:spacing w:after="0" w:line="240" w:lineRule="auto"/>
        <w:contextualSpacing/>
        <w:jc w:val="both"/>
        <w:rPr>
          <w:rFonts w:ascii="Calibri" w:eastAsia="Times New Roman" w:hAnsi="Calibri" w:cs="Calibri"/>
          <w:bCs/>
          <w:lang w:eastAsia="fr-FR"/>
        </w:rPr>
      </w:pPr>
      <w:r>
        <w:rPr>
          <w:rFonts w:ascii="Calibri" w:eastAsia="Times New Roman" w:hAnsi="Calibri" w:cs="Calibri"/>
          <w:bCs/>
          <w:lang w:eastAsia="fr-FR"/>
        </w:rPr>
        <w:t xml:space="preserve">valoriser l’expertise des membres du personnel ; </w:t>
      </w:r>
    </w:p>
    <w:p>
      <w:pPr>
        <w:numPr>
          <w:ilvl w:val="0"/>
          <w:numId w:val="40"/>
        </w:numPr>
        <w:tabs>
          <w:tab w:val="left" w:pos="1985"/>
        </w:tabs>
        <w:spacing w:after="0" w:line="240" w:lineRule="auto"/>
        <w:contextualSpacing/>
        <w:jc w:val="both"/>
        <w:rPr>
          <w:rFonts w:ascii="Calibri" w:eastAsia="Times New Roman" w:hAnsi="Calibri" w:cs="Calibri"/>
          <w:bCs/>
          <w:lang w:eastAsia="fr-FR"/>
        </w:rPr>
      </w:pPr>
      <w:r>
        <w:rPr>
          <w:rFonts w:ascii="Calibri" w:eastAsia="Times New Roman" w:hAnsi="Calibri" w:cs="Calibri"/>
          <w:bCs/>
          <w:lang w:eastAsia="fr-FR"/>
        </w:rPr>
        <w:t>soutenir leurs actions tant à l’intérieur qu’à l’extérieur de l’école ;</w:t>
      </w:r>
    </w:p>
    <w:p>
      <w:pPr>
        <w:tabs>
          <w:tab w:val="left" w:pos="1985"/>
        </w:tabs>
        <w:spacing w:after="0" w:line="240" w:lineRule="auto"/>
        <w:ind w:left="-70"/>
        <w:contextualSpacing/>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Permettre aux membres du personnel l’expérimentation de nouvelles pratiques professionnelles, dans le respect du projet pédagogique du Pouvoir organisateur.</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 xml:space="preserve">Stimuler l’esprit d’équipe. </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Constituer dans l’école une équipe de direction et l’anime.</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Mettre en place une dynamique collaborative favorisant le partage, la concertation, et la construction collective.</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Renforcer la démocratie scolaire en impliquant tous les acteurs de l’école et en promouvant le vivre ensemble</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 xml:space="preserve">Développer dans l’école les conditions d’un climat relationnel positif et du respect mutuel. </w:t>
      </w:r>
      <w:r>
        <w:rPr>
          <w:rFonts w:ascii="Calibri" w:eastAsia="Times New Roman" w:hAnsi="Calibri" w:cs="Calibri"/>
          <w:bCs/>
          <w:lang w:eastAsia="fr-FR"/>
        </w:rPr>
        <w:tab/>
      </w:r>
      <w:r>
        <w:rPr>
          <w:rFonts w:ascii="Calibri" w:eastAsia="Times New Roman" w:hAnsi="Calibri" w:cs="Calibri"/>
          <w:bCs/>
          <w:lang w:eastAsia="fr-FR"/>
        </w:rPr>
        <w:br/>
        <w:t>Assurer les relations de l’école avec les apprenants et les tiers, et dans ce cadre, développer l’accueil et le dialogue.</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Veiller à une application juste du règlement d’ordre intérieur et des éventuelles sanctions disciplinaires aux apprenants.</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Prévenir et gérer les conflits, en faisant appel, le cas échéant, à des ressources externes.</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Veiller au respect du statut des membres du personnel et du règlement de travail.</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eastAsia="Times New Roman" w:cs="Calibri"/>
          <w:u w:val="single"/>
          <w:lang w:eastAsia="fr-FR"/>
        </w:rPr>
      </w:pPr>
      <w:r>
        <w:rPr>
          <w:rFonts w:eastAsia="Times New Roman" w:cs="Calibri"/>
          <w:u w:val="single"/>
          <w:lang w:eastAsia="fr-FR"/>
        </w:rPr>
        <w:t xml:space="preserve">Responsabilités spécifiques pour l’EAFC Hesbaye-Condroz de Waremme : </w:t>
      </w:r>
    </w:p>
    <w:p>
      <w:pPr>
        <w:tabs>
          <w:tab w:val="left" w:pos="1985"/>
        </w:tabs>
        <w:spacing w:after="0" w:line="240" w:lineRule="auto"/>
        <w:ind w:left="-70"/>
        <w:jc w:val="both"/>
        <w:rPr>
          <w:rFonts w:eastAsia="Times New Roman" w:cs="Calibri"/>
          <w:lang w:eastAsia="fr-FR"/>
        </w:rPr>
      </w:pPr>
      <w:r>
        <w:rPr>
          <w:rFonts w:eastAsia="Times New Roman" w:cs="Calibri"/>
          <w:lang w:eastAsia="fr-FR"/>
        </w:rPr>
        <w:t xml:space="preserve">Le Directeur/ la Directrice doit : </w:t>
      </w:r>
    </w:p>
    <w:p>
      <w:pPr>
        <w:tabs>
          <w:tab w:val="left" w:pos="1985"/>
        </w:tabs>
        <w:spacing w:after="0" w:line="240" w:lineRule="auto"/>
        <w:ind w:left="-70"/>
        <w:jc w:val="both"/>
        <w:rPr>
          <w:rFonts w:ascii="Calibri" w:eastAsia="Times New Roman" w:hAnsi="Calibri" w:cs="Calibri"/>
          <w:lang w:eastAsia="fr-BE"/>
        </w:rPr>
      </w:pPr>
      <w:r>
        <w:rPr>
          <w:rFonts w:ascii="Calibri" w:eastAsia="Times New Roman" w:hAnsi="Calibri" w:cs="Calibri"/>
          <w:lang w:eastAsia="fr-BE"/>
        </w:rPr>
        <w:t>- Veiller à l’amélioration des conditions de travail des enseignants notamment en matière de locaux et d’équipement en prenant en compte les besoins des enseignants et des apprenants.</w:t>
      </w:r>
    </w:p>
    <w:p>
      <w:pPr>
        <w:tabs>
          <w:tab w:val="left" w:pos="1985"/>
        </w:tabs>
        <w:spacing w:after="0" w:line="240" w:lineRule="auto"/>
        <w:ind w:left="-70"/>
        <w:jc w:val="both"/>
        <w:rPr>
          <w:rFonts w:ascii="Calibri" w:eastAsia="Times New Roman" w:hAnsi="Calibri" w:cs="Calibri"/>
          <w:lang w:eastAsia="fr-BE"/>
        </w:rPr>
      </w:pPr>
    </w:p>
    <w:p>
      <w:pPr>
        <w:tabs>
          <w:tab w:val="left" w:pos="1985"/>
        </w:tabs>
        <w:spacing w:after="0" w:line="240" w:lineRule="auto"/>
        <w:ind w:left="-70"/>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shd w:val="clear" w:color="auto" w:fill="F4AA00"/>
          <w:lang w:eastAsia="fr-FR"/>
        </w:rPr>
      </w:pPr>
      <w:r>
        <w:rPr>
          <w:rFonts w:ascii="Calibri" w:eastAsia="Times New Roman" w:hAnsi="Calibri" w:cs="Calibri"/>
          <w:bCs/>
          <w:i/>
          <w:sz w:val="28"/>
          <w:shd w:val="clear" w:color="auto" w:fill="F4AA00"/>
          <w:lang w:eastAsia="fr-FR"/>
        </w:rPr>
        <w:t>La communication interne et externe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Recueillir, analyser, intégrer et faire circuler de l’information en la formulant de manière adaptée et au moyen des dispositifs adéquats à l’attention, respectivement, du Pouvoir organisateur, des membres du personnel et des apprenants. Être l’interface avec les partenaires et interlocuteurs extérieurs.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Gérer la communication extérieure de l’établissement, en ce compris les relations avec les médias, dans la limite des délégations qui lui ont été données.</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Construire des dispositifs de communication entre les acteurs de l’école  et avec les partenaires de l’école.</w:t>
      </w:r>
    </w:p>
    <w:p>
      <w:pPr>
        <w:tabs>
          <w:tab w:val="left" w:pos="1985"/>
        </w:tabs>
        <w:spacing w:after="0" w:line="240" w:lineRule="auto"/>
        <w:ind w:left="-70"/>
        <w:jc w:val="both"/>
        <w:rPr>
          <w:rFonts w:ascii="Calibri" w:eastAsia="Times New Roman" w:hAnsi="Calibri" w:cs="Calibri"/>
          <w:bCs/>
          <w:i/>
          <w:sz w:val="24"/>
          <w:shd w:val="clear" w:color="auto" w:fill="FBD4B4"/>
          <w:lang w:eastAsia="fr-FR"/>
        </w:rPr>
      </w:pPr>
    </w:p>
    <w:p>
      <w:pPr>
        <w:tabs>
          <w:tab w:val="left" w:pos="1985"/>
        </w:tabs>
        <w:spacing w:after="0" w:line="240" w:lineRule="auto"/>
        <w:ind w:left="-70"/>
        <w:jc w:val="both"/>
        <w:rPr>
          <w:rFonts w:eastAsia="Times New Roman" w:cs="Calibri"/>
          <w:u w:val="single"/>
          <w:lang w:eastAsia="fr-FR"/>
        </w:rPr>
      </w:pPr>
      <w:r>
        <w:rPr>
          <w:rFonts w:eastAsia="Times New Roman" w:cs="Calibri"/>
          <w:u w:val="single"/>
          <w:lang w:eastAsia="fr-FR"/>
        </w:rPr>
        <w:t xml:space="preserve">Responsabilités spécifiques pour l’EAFC Hesbaye-Condroz de Waremme : </w:t>
      </w:r>
    </w:p>
    <w:p>
      <w:pPr>
        <w:tabs>
          <w:tab w:val="left" w:pos="1985"/>
        </w:tabs>
        <w:spacing w:after="0" w:line="240" w:lineRule="auto"/>
        <w:ind w:left="-70"/>
        <w:jc w:val="both"/>
        <w:rPr>
          <w:rFonts w:eastAsia="Times New Roman" w:cs="Calibri"/>
          <w:lang w:eastAsia="fr-FR"/>
        </w:rPr>
      </w:pPr>
      <w:r>
        <w:rPr>
          <w:rFonts w:eastAsia="Times New Roman" w:cs="Calibri"/>
          <w:lang w:eastAsia="fr-FR"/>
        </w:rPr>
        <w:t xml:space="preserve">Le Directeur/ la Directrice doit : </w:t>
      </w:r>
    </w:p>
    <w:p>
      <w:pPr>
        <w:tabs>
          <w:tab w:val="left" w:pos="1985"/>
        </w:tabs>
        <w:spacing w:after="0" w:line="240" w:lineRule="auto"/>
        <w:ind w:left="-70"/>
        <w:jc w:val="both"/>
        <w:rPr>
          <w:rFonts w:ascii="Calibri" w:eastAsia="Times New Roman" w:hAnsi="Calibri" w:cs="Calibri"/>
          <w:lang w:eastAsia="fr-BE"/>
        </w:rPr>
      </w:pPr>
      <w:r>
        <w:rPr>
          <w:rFonts w:ascii="Calibri" w:eastAsia="Times New Roman" w:hAnsi="Calibri" w:cs="Calibri"/>
          <w:lang w:eastAsia="fr-BE"/>
        </w:rPr>
        <w:t>- Continuer à faire connaître l’établissement pour répondre aux besoins d’un public plus fragilisé.</w:t>
      </w:r>
    </w:p>
    <w:p>
      <w:pPr>
        <w:tabs>
          <w:tab w:val="left" w:pos="1985"/>
        </w:tabs>
        <w:spacing w:after="0" w:line="240" w:lineRule="auto"/>
        <w:ind w:left="-70"/>
        <w:jc w:val="both"/>
        <w:rPr>
          <w:rFonts w:ascii="Calibri" w:eastAsia="Times New Roman" w:hAnsi="Calibri" w:cs="Calibri"/>
          <w:lang w:eastAsia="fr-BE"/>
        </w:rPr>
      </w:pPr>
      <w:r>
        <w:rPr>
          <w:rFonts w:ascii="Calibri" w:eastAsia="Times New Roman" w:hAnsi="Calibri" w:cs="Calibri"/>
          <w:lang w:eastAsia="fr-BE"/>
        </w:rPr>
        <w:lastRenderedPageBreak/>
        <w:t>- Assurer une meilleure communication entre les différentes équipes notamment entre les implantations.</w:t>
      </w:r>
    </w:p>
    <w:p>
      <w:pPr>
        <w:tabs>
          <w:tab w:val="left" w:pos="1985"/>
        </w:tabs>
        <w:spacing w:after="0" w:line="240" w:lineRule="auto"/>
        <w:ind w:left="-70"/>
        <w:jc w:val="both"/>
        <w:rPr>
          <w:rFonts w:ascii="Calibri" w:eastAsia="Times New Roman" w:hAnsi="Calibri" w:cs="Calibri"/>
          <w:lang w:eastAsia="fr-BE"/>
        </w:rPr>
      </w:pPr>
      <w:r>
        <w:rPr>
          <w:rFonts w:ascii="Calibri" w:eastAsia="Times New Roman" w:hAnsi="Calibri" w:cs="Calibri"/>
          <w:lang w:eastAsia="fr-BE"/>
        </w:rPr>
        <w:t>- Intensifier et pérenniser les liens avec les partenaires extérieurs en augmentant les interactions et la communication régulière avec ceux-ci.</w:t>
      </w:r>
    </w:p>
    <w:p>
      <w:pPr>
        <w:tabs>
          <w:tab w:val="left" w:pos="1985"/>
        </w:tabs>
        <w:spacing w:after="0" w:line="240" w:lineRule="auto"/>
        <w:ind w:left="-70"/>
        <w:jc w:val="both"/>
        <w:rPr>
          <w:rFonts w:ascii="Calibri" w:eastAsia="Times New Roman" w:hAnsi="Calibri" w:cs="Calibri"/>
          <w:lang w:eastAsia="fr-BE"/>
        </w:rPr>
      </w:pPr>
    </w:p>
    <w:p>
      <w:pPr>
        <w:tabs>
          <w:tab w:val="left" w:pos="1985"/>
        </w:tabs>
        <w:spacing w:after="0" w:line="240" w:lineRule="auto"/>
        <w:ind w:left="-70"/>
        <w:jc w:val="both"/>
        <w:rPr>
          <w:rFonts w:ascii="Calibri" w:eastAsia="Times New Roman" w:hAnsi="Calibri" w:cs="Calibri"/>
          <w:bCs/>
          <w:i/>
          <w:sz w:val="24"/>
          <w:shd w:val="clear" w:color="auto" w:fill="FBD4B4"/>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shd w:val="clear" w:color="auto" w:fill="FBD4B4"/>
          <w:lang w:eastAsia="fr-FR"/>
        </w:rPr>
      </w:pPr>
      <w:r>
        <w:rPr>
          <w:rFonts w:ascii="Calibri" w:eastAsia="Times New Roman" w:hAnsi="Calibri" w:cs="Calibri"/>
          <w:bCs/>
          <w:i/>
          <w:sz w:val="28"/>
          <w:shd w:val="clear" w:color="auto" w:fill="F4AA00"/>
          <w:lang w:eastAsia="fr-FR"/>
        </w:rPr>
        <w:t>La gestion administrative, financière et matérielle de l’établissement</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Garantir le respect des dispositions légales et réglementaires.</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Assurer la gestion du budget pour lequel il a reçu délégation, en vue de parvenir à un fonctionnement optimal de l’école et à la réalisation de ses objectifs.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Objectiver les besoins de l’école en infrastructures et en équipement pédagogique, technique et informatique nécessaires à son fonctionnement ; En informer le pouvoir organisateur.</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Assurer la gestion et l’entretien des bâtiments, des infrastructures et des équipements scolaires, pour lesquels il a reçu délégation, y compris en matière de sécurité,  d'hygiène et de bien-être au travail.</w:t>
      </w:r>
    </w:p>
    <w:p>
      <w:pPr>
        <w:tabs>
          <w:tab w:val="left" w:pos="1985"/>
        </w:tabs>
        <w:spacing w:after="0" w:line="240" w:lineRule="auto"/>
        <w:ind w:left="-70"/>
        <w:jc w:val="both"/>
        <w:rPr>
          <w:rFonts w:eastAsia="Times New Roman" w:cs="Calibri"/>
          <w:highlight w:val="green"/>
          <w:lang w:eastAsia="fr-FR"/>
        </w:rPr>
      </w:pPr>
    </w:p>
    <w:p>
      <w:pPr>
        <w:tabs>
          <w:tab w:val="left" w:pos="1985"/>
        </w:tabs>
        <w:spacing w:after="0" w:line="240" w:lineRule="auto"/>
        <w:ind w:left="-70"/>
        <w:jc w:val="both"/>
        <w:rPr>
          <w:rFonts w:eastAsia="Times New Roman" w:cs="Calibri"/>
          <w:u w:val="single"/>
          <w:lang w:eastAsia="fr-FR"/>
        </w:rPr>
      </w:pPr>
      <w:r>
        <w:rPr>
          <w:rFonts w:eastAsia="Times New Roman" w:cs="Calibri"/>
          <w:u w:val="single"/>
          <w:lang w:eastAsia="fr-FR"/>
        </w:rPr>
        <w:t xml:space="preserve">Responsabilités spécifiques pour l’EAFC Hesbaye-Condroz de Waremme : </w:t>
      </w:r>
    </w:p>
    <w:p>
      <w:pPr>
        <w:tabs>
          <w:tab w:val="left" w:pos="1985"/>
        </w:tabs>
        <w:spacing w:after="0" w:line="240" w:lineRule="auto"/>
        <w:ind w:left="-70"/>
        <w:jc w:val="both"/>
        <w:rPr>
          <w:rFonts w:eastAsia="Times New Roman" w:cs="Calibri"/>
          <w:lang w:eastAsia="fr-FR"/>
        </w:rPr>
      </w:pPr>
      <w:r>
        <w:rPr>
          <w:rFonts w:eastAsia="Times New Roman" w:cs="Calibri"/>
          <w:lang w:eastAsia="fr-FR"/>
        </w:rPr>
        <w:t xml:space="preserve">Le Directeur/ la Directrice doit : </w:t>
      </w:r>
    </w:p>
    <w:p>
      <w:pPr>
        <w:tabs>
          <w:tab w:val="left" w:pos="1985"/>
        </w:tabs>
        <w:spacing w:after="0" w:line="240" w:lineRule="auto"/>
        <w:ind w:left="-70"/>
        <w:jc w:val="both"/>
        <w:rPr>
          <w:rFonts w:ascii="Calibri" w:eastAsia="Times New Roman" w:hAnsi="Calibri" w:cs="Calibri"/>
          <w:lang w:eastAsia="fr-BE"/>
        </w:rPr>
      </w:pPr>
      <w:r>
        <w:rPr>
          <w:rFonts w:ascii="Calibri" w:eastAsia="Times New Roman" w:hAnsi="Calibri" w:cs="Calibri"/>
          <w:lang w:eastAsia="fr-BE"/>
        </w:rPr>
        <w:t>- Trouver d’autres partenaires afin d’obtenir des locaux de cours supplémentaires perdus suite à l’incendie de l’Internat de Saint Georges.</w:t>
      </w:r>
    </w:p>
    <w:p>
      <w:pPr>
        <w:tabs>
          <w:tab w:val="left" w:pos="1985"/>
        </w:tabs>
        <w:spacing w:after="0" w:line="240" w:lineRule="auto"/>
        <w:ind w:left="-70"/>
        <w:jc w:val="both"/>
        <w:rPr>
          <w:rFonts w:ascii="Calibri" w:eastAsia="Times New Roman" w:hAnsi="Calibri" w:cs="Calibri"/>
          <w:lang w:eastAsia="fr-BE"/>
        </w:rPr>
      </w:pPr>
      <w:r>
        <w:rPr>
          <w:rFonts w:ascii="Calibri" w:eastAsia="Times New Roman" w:hAnsi="Calibri" w:cs="Calibri"/>
          <w:lang w:eastAsia="fr-BE"/>
        </w:rPr>
        <w:t>- Accorder une attention particulière à la sécurité des ateliers.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shd w:val="clear" w:color="auto" w:fill="F4AA00"/>
          <w:lang w:eastAsia="fr-FR"/>
        </w:rPr>
      </w:pPr>
      <w:r>
        <w:rPr>
          <w:rFonts w:ascii="Calibri" w:eastAsia="Times New Roman" w:hAnsi="Calibri" w:cs="Calibri"/>
          <w:bCs/>
          <w:i/>
          <w:sz w:val="28"/>
          <w:shd w:val="clear" w:color="auto" w:fill="F4AA00"/>
          <w:lang w:eastAsia="fr-FR"/>
        </w:rPr>
        <w:t>La planification et la gestion active de son propre développement professionnel</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S’enrichir continûment de nouvelles idées, compétences et connaissances.</w:t>
      </w:r>
    </w:p>
    <w:p>
      <w:pPr>
        <w:tabs>
          <w:tab w:val="left" w:pos="1985"/>
        </w:tabs>
        <w:spacing w:after="0" w:line="240" w:lineRule="auto"/>
        <w:ind w:left="-70"/>
        <w:jc w:val="both"/>
        <w:rPr>
          <w:rFonts w:ascii="Calibri" w:eastAsia="Times New Roman" w:hAnsi="Calibri" w:cs="Calibri"/>
          <w:lang w:eastAsia="fr-FR"/>
        </w:rPr>
      </w:pPr>
      <w:r>
        <w:rPr>
          <w:rFonts w:ascii="Calibri" w:eastAsia="Times New Roman" w:hAnsi="Calibri" w:cs="Calibri"/>
          <w:lang w:eastAsia="fr-FR"/>
        </w:rPr>
        <w:t xml:space="preserve">Avoir des entretiens de fonctionnement réguliers avec le pouvoir organisateur ou les délégués de celui-ci, en référence à sa lettre de mission et à son auto-évaluation. </w:t>
      </w:r>
    </w:p>
    <w:p>
      <w:pPr>
        <w:tabs>
          <w:tab w:val="left" w:pos="1985"/>
        </w:tabs>
        <w:spacing w:after="0" w:line="240" w:lineRule="auto"/>
        <w:ind w:left="-70"/>
        <w:jc w:val="both"/>
        <w:rPr>
          <w:rFonts w:ascii="Calibri" w:eastAsia="Times New Roman" w:hAnsi="Calibri" w:cs="Calibri"/>
          <w:lang w:eastAsia="fr-FR"/>
        </w:rPr>
      </w:pPr>
      <w:r>
        <w:rPr>
          <w:rFonts w:ascii="Calibri" w:eastAsia="Times New Roman" w:hAnsi="Calibri" w:cs="Calibri"/>
          <w:lang w:eastAsia="fr-FR"/>
        </w:rPr>
        <w:t>S’inscrire dans une démarche de formation continuée.</w:t>
      </w:r>
    </w:p>
    <w:p>
      <w:pPr>
        <w:tabs>
          <w:tab w:val="left" w:pos="1985"/>
        </w:tabs>
        <w:spacing w:after="0" w:line="240" w:lineRule="auto"/>
        <w:ind w:left="-70"/>
        <w:jc w:val="both"/>
        <w:rPr>
          <w:rFonts w:ascii="Calibri" w:eastAsia="Times New Roman" w:hAnsi="Calibri" w:cs="Calibri"/>
          <w:lang w:eastAsia="fr-FR"/>
        </w:rPr>
      </w:pPr>
      <w:r>
        <w:rPr>
          <w:rFonts w:ascii="Calibri" w:eastAsia="Times New Roman" w:hAnsi="Calibri" w:cs="Calibri"/>
          <w:lang w:eastAsia="fr-FR"/>
        </w:rPr>
        <w:t>Autoévaluer régulièrement son fonctionnement professionnel et en tirer de nouvelles lignes d’action ou de comportement.</w:t>
      </w:r>
    </w:p>
    <w:p>
      <w:pPr>
        <w:tabs>
          <w:tab w:val="left" w:pos="1985"/>
        </w:tabs>
        <w:spacing w:after="0" w:line="240" w:lineRule="auto"/>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center"/>
        <w:rPr>
          <w:rFonts w:ascii="Calibri" w:eastAsia="Times New Roman" w:hAnsi="Calibri" w:cs="Times New Roman"/>
          <w:lang w:eastAsia="fr-FR"/>
        </w:rPr>
      </w:pPr>
      <w:r>
        <w:rPr>
          <w:rFonts w:ascii="Calibri" w:eastAsia="Times New Roman" w:hAnsi="Calibri" w:cs="Times New Roman"/>
          <w:szCs w:val="24"/>
          <w:lang w:eastAsia="fr-FR"/>
        </w:rPr>
        <w:t>Cette liste des tâches n’est pas exhaustive.</w:t>
      </w:r>
    </w:p>
    <w:p>
      <w:pPr>
        <w:spacing w:after="0" w:line="240" w:lineRule="auto"/>
        <w:rPr>
          <w:rFonts w:ascii="Calibri" w:eastAsia="Times New Roman" w:hAnsi="Calibri" w:cs="Times New Roman"/>
          <w:lang w:eastAsia="fr-FR"/>
        </w:rPr>
        <w:sectPr>
          <w:headerReference w:type="default" r:id="rId16"/>
          <w:headerReference w:type="first" r:id="rId17"/>
          <w:pgSz w:w="11906" w:h="16838"/>
          <w:pgMar w:top="1417" w:right="1417" w:bottom="1417" w:left="1417" w:header="708" w:footer="16" w:gutter="0"/>
          <w:cols w:space="708"/>
          <w:docGrid w:linePitch="360"/>
        </w:sectPr>
      </w:pPr>
    </w:p>
    <w:tbl>
      <w:tblPr>
        <w:tblpPr w:leftFromText="141" w:rightFromText="141" w:vertAnchor="text" w:horzAnchor="margin" w:tblpXSpec="center" w:tblpY="-384"/>
        <w:tblW w:w="8673" w:type="dxa"/>
        <w:shd w:val="clear" w:color="auto" w:fill="C0C0C0"/>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ascii="Calibri" w:eastAsia="Times New Roman" w:hAnsi="Calibri" w:cs="Times New Roman"/>
                <w:sz w:val="20"/>
                <w:szCs w:val="20"/>
                <w:lang w:eastAsia="fr-FR"/>
              </w:rPr>
              <w:lastRenderedPageBreak/>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ascii="Calibri" w:eastAsia="Times New Roman" w:hAnsi="Calibri" w:cs="Times New Roman"/>
                <w:sz w:val="20"/>
                <w:szCs w:val="20"/>
                <w:lang w:eastAsia="fr-FR"/>
              </w:rPr>
              <w:t>Référentiel des responsabilités</w:t>
            </w:r>
          </w:p>
        </w:tc>
        <w:tc>
          <w:tcPr>
            <w:tcW w:w="2891" w:type="dxa"/>
            <w:shd w:val="clear" w:color="auto" w:fill="001D77"/>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ascii="Calibri" w:eastAsia="Times New Roman" w:hAnsi="Calibri" w:cs="Times New Roman"/>
                <w:b/>
                <w:color w:val="FFFFFF"/>
                <w:sz w:val="20"/>
                <w:szCs w:val="20"/>
                <w:lang w:eastAsia="fr-FR"/>
              </w:rPr>
              <w:t>Profil de compétence</w:t>
            </w:r>
          </w:p>
        </w:tc>
      </w:tr>
    </w:tbl>
    <w:p>
      <w:pPr>
        <w:tabs>
          <w:tab w:val="left" w:pos="1985"/>
        </w:tabs>
        <w:spacing w:after="0" w:line="240" w:lineRule="auto"/>
        <w:jc w:val="both"/>
        <w:rPr>
          <w:rFonts w:ascii="Calibri" w:eastAsia="Times New Roman" w:hAnsi="Calibri" w:cs="Times New Roman"/>
          <w:sz w:val="24"/>
          <w:szCs w:val="24"/>
          <w:lang w:eastAsia="fr-FR"/>
        </w:rPr>
      </w:pPr>
    </w:p>
    <w:p>
      <w:pPr>
        <w:tabs>
          <w:tab w:val="left" w:pos="1985"/>
        </w:tabs>
        <w:spacing w:after="0" w:line="240" w:lineRule="auto"/>
        <w:jc w:val="both"/>
        <w:rPr>
          <w:rFonts w:ascii="Calibri" w:eastAsia="Times New Roman" w:hAnsi="Calibri" w:cs="Times New Roman"/>
          <w:sz w:val="24"/>
          <w:szCs w:val="24"/>
          <w:lang w:eastAsia="fr-FR"/>
        </w:rPr>
      </w:pPr>
    </w:p>
    <w:tbl>
      <w:tblPr>
        <w:tblpPr w:leftFromText="141" w:rightFromText="141" w:vertAnchor="text" w:horzAnchor="margin" w:tblpXSpec="center" w:tblpY="234"/>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17"/>
        <w:gridCol w:w="468"/>
        <w:gridCol w:w="37"/>
        <w:gridCol w:w="37"/>
        <w:gridCol w:w="25"/>
        <w:gridCol w:w="13"/>
        <w:gridCol w:w="979"/>
      </w:tblGrid>
      <w:tr>
        <w:trPr>
          <w:trHeight w:val="586"/>
        </w:trPr>
        <w:tc>
          <w:tcPr>
            <w:tcW w:w="9776" w:type="dxa"/>
            <w:gridSpan w:val="7"/>
            <w:tcBorders>
              <w:top w:val="single" w:sz="4" w:space="0" w:color="auto"/>
              <w:left w:val="single" w:sz="4" w:space="0" w:color="auto"/>
              <w:right w:val="single" w:sz="4" w:space="0" w:color="auto"/>
            </w:tcBorders>
            <w:shd w:val="clear" w:color="auto" w:fill="001D77"/>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ascii="Calibri" w:eastAsia="Times New Roman" w:hAnsi="Calibri" w:cs="Times New Roman"/>
                <w:b/>
                <w:sz w:val="24"/>
                <w:szCs w:val="20"/>
                <w:lang w:eastAsia="fr-FR"/>
              </w:rPr>
              <w:t>Compétences Techniques</w:t>
            </w:r>
          </w:p>
        </w:tc>
      </w:tr>
      <w:tr>
        <w:trPr>
          <w:trHeight w:val="531"/>
        </w:trPr>
        <w:tc>
          <w:tcPr>
            <w:tcW w:w="8217" w:type="dxa"/>
            <w:vMerge w:val="restart"/>
            <w:tcBorders>
              <w:top w:val="single" w:sz="4" w:space="0" w:color="auto"/>
              <w:left w:val="single" w:sz="4" w:space="0" w:color="auto"/>
              <w:right w:val="single" w:sz="4" w:space="0" w:color="auto"/>
            </w:tcBorders>
            <w:shd w:val="clear" w:color="auto" w:fill="FFFFFF"/>
          </w:tcPr>
          <w:p>
            <w:pPr>
              <w:tabs>
                <w:tab w:val="left" w:pos="1985"/>
              </w:tabs>
              <w:spacing w:after="0" w:line="240" w:lineRule="auto"/>
              <w:rPr>
                <w:rFonts w:ascii="Calibri" w:eastAsia="Times New Roman" w:hAnsi="Calibri" w:cs="Times New Roman"/>
                <w:b/>
                <w:color w:val="000000"/>
                <w:lang w:eastAsia="fr-FR"/>
              </w:rPr>
            </w:pPr>
            <w:r>
              <w:rPr>
                <w:rFonts w:ascii="Calibri" w:eastAsia="Times New Roman" w:hAnsi="Calibri" w:cs="Times New Roman"/>
                <w:b/>
                <w:color w:val="000000"/>
                <w:lang w:eastAsia="fr-FR"/>
              </w:rPr>
              <w:t xml:space="preserve">Niveaux de maitrise </w:t>
            </w:r>
          </w:p>
          <w:p>
            <w:pPr>
              <w:numPr>
                <w:ilvl w:val="0"/>
                <w:numId w:val="38"/>
              </w:numPr>
              <w:tabs>
                <w:tab w:val="left" w:pos="1985"/>
              </w:tabs>
              <w:spacing w:after="0" w:line="240" w:lineRule="auto"/>
              <w:contextualSpacing/>
              <w:rPr>
                <w:rFonts w:ascii="Calibri" w:eastAsia="Times New Roman" w:hAnsi="Calibri" w:cs="Times New Roman"/>
                <w:b/>
                <w:color w:val="000000"/>
                <w:lang w:eastAsia="fr-FR"/>
              </w:rPr>
            </w:pPr>
            <w:r>
              <w:rPr>
                <w:rFonts w:ascii="Calibri" w:eastAsia="Times New Roman" w:hAnsi="Calibri" w:cs="Times New Roman"/>
                <w:b/>
                <w:color w:val="000000"/>
                <w:lang w:eastAsia="fr-FR"/>
              </w:rPr>
              <w:t>Aptitude à acquérir la compétence -&gt; avoir des notions théoriques</w:t>
            </w:r>
          </w:p>
          <w:p>
            <w:pPr>
              <w:numPr>
                <w:ilvl w:val="0"/>
                <w:numId w:val="38"/>
              </w:numPr>
              <w:tabs>
                <w:tab w:val="left" w:pos="1985"/>
              </w:tabs>
              <w:spacing w:after="0" w:line="240" w:lineRule="auto"/>
              <w:contextualSpacing/>
              <w:rPr>
                <w:rFonts w:ascii="Calibri" w:eastAsia="Times New Roman" w:hAnsi="Calibri" w:cs="Times New Roman"/>
                <w:b/>
                <w:color w:val="000000"/>
                <w:lang w:eastAsia="fr-FR"/>
              </w:rPr>
            </w:pPr>
            <w:r>
              <w:rPr>
                <w:rFonts w:ascii="Calibri" w:eastAsia="Times New Roman" w:hAnsi="Calibri" w:cs="Times New Roman"/>
                <w:b/>
                <w:color w:val="000000"/>
                <w:lang w:eastAsia="fr-FR"/>
              </w:rPr>
              <w:t>Élémentaire -&gt; agir de façon réactive</w:t>
            </w:r>
          </w:p>
          <w:p>
            <w:pPr>
              <w:numPr>
                <w:ilvl w:val="0"/>
                <w:numId w:val="38"/>
              </w:numPr>
              <w:tabs>
                <w:tab w:val="left" w:pos="1985"/>
              </w:tabs>
              <w:spacing w:after="0" w:line="240" w:lineRule="auto"/>
              <w:contextualSpacing/>
              <w:rPr>
                <w:rFonts w:ascii="Calibri" w:eastAsia="Times New Roman" w:hAnsi="Calibri" w:cs="Times New Roman"/>
                <w:b/>
                <w:color w:val="000000"/>
                <w:lang w:eastAsia="fr-FR"/>
              </w:rPr>
            </w:pPr>
            <w:r>
              <w:rPr>
                <w:rFonts w:ascii="Calibri" w:eastAsia="Times New Roman" w:hAnsi="Calibri" w:cs="Times New Roman"/>
                <w:b/>
                <w:color w:val="000000"/>
                <w:lang w:eastAsia="fr-FR"/>
              </w:rPr>
              <w:t>Intermédiaire -&gt; agir de façon autonome</w:t>
            </w:r>
          </w:p>
          <w:p>
            <w:pPr>
              <w:numPr>
                <w:ilvl w:val="0"/>
                <w:numId w:val="38"/>
              </w:numPr>
              <w:tabs>
                <w:tab w:val="left" w:pos="1985"/>
              </w:tabs>
              <w:spacing w:after="0" w:line="240" w:lineRule="auto"/>
              <w:contextualSpacing/>
              <w:rPr>
                <w:rFonts w:ascii="Calibri" w:eastAsia="Times New Roman" w:hAnsi="Calibri" w:cs="Times New Roman"/>
                <w:b/>
                <w:color w:val="0070C0"/>
                <w:lang w:eastAsia="fr-FR"/>
              </w:rPr>
            </w:pPr>
            <w:r>
              <w:rPr>
                <w:rFonts w:ascii="Calibri" w:eastAsia="Times New Roman" w:hAnsi="Calibri" w:cs="Times New Roman"/>
                <w:b/>
                <w:color w:val="000000"/>
                <w:lang w:eastAsia="fr-FR"/>
              </w:rPr>
              <w:t>Avancé -&gt; agir avec excellence</w:t>
            </w:r>
            <w:r>
              <w:rPr>
                <w:rFonts w:ascii="Calibri" w:eastAsia="Times New Roman" w:hAnsi="Calibri" w:cs="Times New Roman"/>
                <w:b/>
                <w:color w:val="000000"/>
                <w:lang w:eastAsia="fr-FR"/>
              </w:rPr>
              <w:br/>
            </w:r>
          </w:p>
        </w:tc>
        <w:tc>
          <w:tcPr>
            <w:tcW w:w="1559" w:type="dxa"/>
            <w:gridSpan w:val="6"/>
            <w:tcBorders>
              <w:top w:val="single" w:sz="4" w:space="0" w:color="auto"/>
              <w:left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 xml:space="preserve">Niveau  </w:t>
            </w:r>
          </w:p>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attendu en:</w:t>
            </w:r>
          </w:p>
        </w:tc>
      </w:tr>
      <w:tr>
        <w:trPr>
          <w:trHeight w:val="846"/>
        </w:trPr>
        <w:tc>
          <w:tcPr>
            <w:tcW w:w="8217" w:type="dxa"/>
            <w:vMerge/>
            <w:tcBorders>
              <w:left w:val="single" w:sz="4" w:space="0" w:color="auto"/>
              <w:right w:val="single" w:sz="4" w:space="0" w:color="auto"/>
            </w:tcBorders>
            <w:shd w:val="clear" w:color="auto" w:fill="FFFFFF"/>
          </w:tcPr>
          <w:p>
            <w:pPr>
              <w:tabs>
                <w:tab w:val="left" w:pos="1985"/>
              </w:tabs>
              <w:spacing w:after="0" w:line="240" w:lineRule="auto"/>
              <w:rPr>
                <w:rFonts w:ascii="Calibri" w:eastAsia="Times New Roman" w:hAnsi="Calibri" w:cs="Times New Roman"/>
                <w:b/>
                <w:color w:val="000000"/>
                <w:lang w:eastAsia="fr-FR"/>
              </w:rPr>
            </w:pPr>
          </w:p>
        </w:tc>
        <w:tc>
          <w:tcPr>
            <w:tcW w:w="567" w:type="dxa"/>
            <w:gridSpan w:val="4"/>
            <w:tcBorders>
              <w:top w:val="single" w:sz="4" w:space="0" w:color="auto"/>
              <w:left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Jury</w:t>
            </w:r>
          </w:p>
        </w:tc>
        <w:tc>
          <w:tcPr>
            <w:tcW w:w="992" w:type="dxa"/>
            <w:gridSpan w:val="2"/>
            <w:tcBorders>
              <w:top w:val="single" w:sz="4" w:space="0" w:color="auto"/>
              <w:left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Fonction</w:t>
            </w:r>
          </w:p>
        </w:tc>
      </w:tr>
      <w:tr>
        <w:trPr>
          <w:trHeight w:val="397"/>
        </w:trPr>
        <w:tc>
          <w:tcPr>
            <w:tcW w:w="9776" w:type="dxa"/>
            <w:gridSpan w:val="7"/>
            <w:tcBorders>
              <w:left w:val="single" w:sz="4" w:space="0" w:color="auto"/>
              <w:right w:val="single" w:sz="4" w:space="0" w:color="auto"/>
            </w:tcBorders>
            <w:shd w:val="clear" w:color="auto" w:fill="001D77"/>
            <w:vAlign w:val="center"/>
          </w:tcPr>
          <w:p>
            <w:pPr>
              <w:tabs>
                <w:tab w:val="left" w:pos="1985"/>
              </w:tabs>
              <w:spacing w:after="0" w:line="240" w:lineRule="auto"/>
              <w:jc w:val="center"/>
              <w:rPr>
                <w:rFonts w:ascii="Times New Roman" w:eastAsia="Times New Roman" w:hAnsi="Times New Roman" w:cs="Times New Roman"/>
                <w:sz w:val="24"/>
                <w:szCs w:val="24"/>
                <w:lang w:eastAsia="fr-FR"/>
              </w:rPr>
            </w:pPr>
            <w:r>
              <w:rPr>
                <w:rFonts w:ascii="Calibri" w:eastAsia="Times New Roman" w:hAnsi="Calibri" w:cs="Times New Roman"/>
                <w:b/>
                <w:lang w:eastAsia="fr-FR"/>
              </w:rPr>
              <w:t>Réglementation</w:t>
            </w:r>
          </w:p>
        </w:tc>
      </w:tr>
      <w:tr>
        <w:trPr>
          <w:trHeight w:val="340"/>
        </w:trPr>
        <w:tc>
          <w:tcPr>
            <w:tcW w:w="8217"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ascii="Calibri" w:eastAsia="Times New Roman" w:hAnsi="Calibri" w:cs="Times New Roman"/>
                <w:lang w:eastAsia="fr-FR"/>
              </w:rPr>
            </w:pPr>
            <w:r>
              <w:rPr>
                <w:rFonts w:ascii="Calibri" w:eastAsia="Times New Roman" w:hAnsi="Calibri" w:cs="Times New Roman"/>
                <w:lang w:eastAsia="fr-FR"/>
              </w:rPr>
              <w:t xml:space="preserve">Avoir la capacité de lire et comprendre un texte juridique. </w:t>
            </w:r>
          </w:p>
        </w:tc>
        <w:tc>
          <w:tcPr>
            <w:tcW w:w="580"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 xml:space="preserve">B </w:t>
            </w:r>
          </w:p>
        </w:tc>
        <w:tc>
          <w:tcPr>
            <w:tcW w:w="979" w:type="dxa"/>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r>
      <w:tr>
        <w:trPr>
          <w:trHeight w:val="397"/>
        </w:trPr>
        <w:tc>
          <w:tcPr>
            <w:tcW w:w="9776" w:type="dxa"/>
            <w:gridSpan w:val="7"/>
            <w:tcBorders>
              <w:left w:val="single" w:sz="4" w:space="0" w:color="auto"/>
              <w:right w:val="single" w:sz="4" w:space="0" w:color="auto"/>
            </w:tcBorders>
            <w:shd w:val="clear" w:color="auto" w:fill="001D77"/>
            <w:vAlign w:val="center"/>
          </w:tcPr>
          <w:p>
            <w:pPr>
              <w:tabs>
                <w:tab w:val="left" w:pos="1985"/>
              </w:tabs>
              <w:spacing w:after="0" w:line="240" w:lineRule="auto"/>
              <w:jc w:val="center"/>
              <w:rPr>
                <w:rFonts w:ascii="Calibri" w:eastAsia="Times New Roman" w:hAnsi="Calibri" w:cs="Calibri"/>
                <w:b/>
                <w:lang w:eastAsia="fr-FR"/>
              </w:rPr>
            </w:pPr>
            <w:r>
              <w:rPr>
                <w:rFonts w:ascii="Calibri" w:eastAsia="Times New Roman" w:hAnsi="Calibri" w:cs="Calibri"/>
                <w:b/>
                <w:lang w:eastAsia="fr-FR"/>
              </w:rPr>
              <w:t>Pédagogie</w:t>
            </w:r>
          </w:p>
        </w:tc>
      </w:tr>
      <w:tr>
        <w:trPr>
          <w:trHeight w:val="397"/>
        </w:trPr>
        <w:tc>
          <w:tcPr>
            <w:tcW w:w="8217"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ascii="Calibri" w:eastAsia="Times New Roman" w:hAnsi="Calibri" w:cs="Times New Roman"/>
                <w:lang w:eastAsia="fr-FR"/>
              </w:rPr>
            </w:pPr>
            <w:r>
              <w:rPr>
                <w:rFonts w:ascii="Calibri" w:eastAsia="Times New Roman" w:hAnsi="Calibri" w:cs="Times New Roman"/>
                <w:lang w:eastAsia="fr-FR"/>
              </w:rPr>
              <w:t>Disposer de compétences pédagogiques et montrer un intérêt pour la recherche en éducation adaptée au niveau d’enseignement concerné.</w:t>
            </w:r>
          </w:p>
        </w:tc>
        <w:tc>
          <w:tcPr>
            <w:tcW w:w="54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 xml:space="preserve">C </w:t>
            </w:r>
          </w:p>
        </w:tc>
        <w:tc>
          <w:tcPr>
            <w:tcW w:w="101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D</w:t>
            </w:r>
          </w:p>
        </w:tc>
      </w:tr>
      <w:tr>
        <w:trPr>
          <w:trHeight w:val="397"/>
        </w:trPr>
        <w:tc>
          <w:tcPr>
            <w:tcW w:w="9776" w:type="dxa"/>
            <w:gridSpan w:val="7"/>
            <w:tcBorders>
              <w:left w:val="single" w:sz="4" w:space="0" w:color="auto"/>
              <w:right w:val="single" w:sz="4" w:space="0" w:color="auto"/>
            </w:tcBorders>
            <w:shd w:val="clear" w:color="auto" w:fill="001D77"/>
            <w:vAlign w:val="center"/>
          </w:tcPr>
          <w:p>
            <w:pPr>
              <w:tabs>
                <w:tab w:val="left" w:pos="1985"/>
              </w:tabs>
              <w:spacing w:after="0" w:line="240" w:lineRule="auto"/>
              <w:jc w:val="center"/>
              <w:rPr>
                <w:rFonts w:ascii="Calibri" w:eastAsia="Times New Roman" w:hAnsi="Calibri" w:cs="Calibri"/>
                <w:b/>
                <w:lang w:eastAsia="fr-FR"/>
              </w:rPr>
            </w:pPr>
            <w:r>
              <w:rPr>
                <w:rFonts w:ascii="Calibri" w:eastAsia="Times New Roman" w:hAnsi="Calibri" w:cs="Calibri"/>
                <w:b/>
                <w:lang w:eastAsia="fr-FR"/>
              </w:rPr>
              <w:t>Numérique</w:t>
            </w:r>
          </w:p>
        </w:tc>
      </w:tr>
      <w:tr>
        <w:trPr>
          <w:trHeight w:val="787"/>
        </w:trPr>
        <w:tc>
          <w:tcPr>
            <w:tcW w:w="8217"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ascii="Calibri" w:eastAsia="Times New Roman" w:hAnsi="Calibri" w:cs="Calibri"/>
                <w:color w:val="000000"/>
                <w:lang w:eastAsia="fr-FR"/>
              </w:rPr>
            </w:pPr>
            <w:r>
              <w:rPr>
                <w:rFonts w:ascii="Calibri" w:eastAsia="Times New Roman" w:hAnsi="Calibri" w:cs="Calibri"/>
                <w:color w:val="000000"/>
                <w:lang w:eastAsia="fr-FR"/>
              </w:rPr>
              <w:t xml:space="preserve">Être capable de piloter l'implémentation du numérique dans les dispositifs d'enseignement et de gouvernance dans le cadre du développement de l'environnement numérique de son établissement et de l’enseignement en Communauté française. </w:t>
            </w:r>
          </w:p>
        </w:tc>
        <w:tc>
          <w:tcPr>
            <w:tcW w:w="542" w:type="dxa"/>
            <w:gridSpan w:val="3"/>
            <w:tcBorders>
              <w:left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 xml:space="preserve">B </w:t>
            </w:r>
          </w:p>
        </w:tc>
        <w:tc>
          <w:tcPr>
            <w:tcW w:w="1017" w:type="dxa"/>
            <w:gridSpan w:val="3"/>
            <w:tcBorders>
              <w:left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r>
      <w:tr>
        <w:trPr>
          <w:trHeight w:val="397"/>
        </w:trPr>
        <w:tc>
          <w:tcPr>
            <w:tcW w:w="9776" w:type="dxa"/>
            <w:gridSpan w:val="7"/>
            <w:tcBorders>
              <w:left w:val="single" w:sz="4" w:space="0" w:color="auto"/>
              <w:right w:val="single" w:sz="4" w:space="0" w:color="auto"/>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b/>
                <w:lang w:eastAsia="fr-FR"/>
              </w:rPr>
              <w:t xml:space="preserve">Méthodologie </w:t>
            </w:r>
          </w:p>
        </w:tc>
      </w:tr>
      <w:tr>
        <w:trPr>
          <w:trHeight w:val="340"/>
        </w:trPr>
        <w:tc>
          <w:tcPr>
            <w:tcW w:w="8217"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ascii="Calibri" w:eastAsia="Times New Roman" w:hAnsi="Calibri" w:cs="Calibri"/>
                <w:color w:val="000000"/>
                <w:lang w:eastAsia="fr-FR"/>
              </w:rPr>
            </w:pPr>
            <w:r>
              <w:rPr>
                <w:rFonts w:ascii="Calibri" w:eastAsia="Times New Roman" w:hAnsi="Calibri" w:cs="Calibri"/>
                <w:color w:val="000000"/>
                <w:lang w:eastAsia="fr-FR"/>
              </w:rPr>
              <w:t>Etre capable de gérer des réunions.</w:t>
            </w:r>
          </w:p>
        </w:tc>
        <w:tc>
          <w:tcPr>
            <w:tcW w:w="50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 xml:space="preserve">C </w:t>
            </w:r>
          </w:p>
        </w:tc>
        <w:tc>
          <w:tcPr>
            <w:tcW w:w="105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D</w:t>
            </w:r>
          </w:p>
        </w:tc>
      </w:tr>
      <w:tr>
        <w:trPr>
          <w:trHeight w:val="340"/>
        </w:trPr>
        <w:tc>
          <w:tcPr>
            <w:tcW w:w="8217"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ascii="Calibri" w:eastAsia="Times New Roman" w:hAnsi="Calibri" w:cs="Calibri"/>
                <w:color w:val="000000"/>
                <w:lang w:eastAsia="fr-FR"/>
              </w:rPr>
            </w:pPr>
            <w:r>
              <w:rPr>
                <w:rFonts w:ascii="Calibri" w:eastAsia="Times New Roman" w:hAnsi="Calibri" w:cs="Calibri"/>
                <w:color w:val="000000"/>
                <w:lang w:eastAsia="fr-FR"/>
              </w:rPr>
              <w:t>Etre capable de gérer des conflits.</w:t>
            </w:r>
          </w:p>
        </w:tc>
        <w:tc>
          <w:tcPr>
            <w:tcW w:w="50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 xml:space="preserve">C </w:t>
            </w:r>
          </w:p>
        </w:tc>
        <w:tc>
          <w:tcPr>
            <w:tcW w:w="105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D</w:t>
            </w:r>
          </w:p>
        </w:tc>
      </w:tr>
      <w:tr>
        <w:trPr>
          <w:trHeight w:val="397"/>
        </w:trPr>
        <w:tc>
          <w:tcPr>
            <w:tcW w:w="9776" w:type="dxa"/>
            <w:gridSpan w:val="7"/>
            <w:tcBorders>
              <w:left w:val="single" w:sz="4" w:space="0" w:color="auto"/>
              <w:right w:val="single" w:sz="4" w:space="0" w:color="auto"/>
            </w:tcBorders>
            <w:shd w:val="clear" w:color="auto" w:fill="001D77"/>
            <w:vAlign w:val="center"/>
          </w:tcPr>
          <w:p>
            <w:pPr>
              <w:tabs>
                <w:tab w:val="left" w:pos="1985"/>
              </w:tabs>
              <w:spacing w:after="0" w:line="240" w:lineRule="auto"/>
              <w:jc w:val="center"/>
              <w:rPr>
                <w:rFonts w:ascii="Calibri" w:eastAsia="Times New Roman" w:hAnsi="Calibri" w:cs="Calibri"/>
                <w:b/>
                <w:lang w:eastAsia="fr-FR"/>
              </w:rPr>
            </w:pPr>
            <w:r>
              <w:rPr>
                <w:rFonts w:ascii="Calibri" w:eastAsia="Times New Roman" w:hAnsi="Calibri" w:cs="Calibri"/>
                <w:b/>
                <w:lang w:eastAsia="fr-FR"/>
              </w:rPr>
              <w:t>Métier</w:t>
            </w:r>
          </w:p>
        </w:tc>
      </w:tr>
      <w:tr>
        <w:trPr>
          <w:trHeight w:val="340"/>
        </w:trPr>
        <w:tc>
          <w:tcPr>
            <w:tcW w:w="8217"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ascii="Calibri" w:eastAsia="Times New Roman" w:hAnsi="Calibri" w:cs="Calibri"/>
                <w:color w:val="000000"/>
                <w:lang w:eastAsia="fr-FR"/>
              </w:rPr>
            </w:pPr>
            <w:r>
              <w:rPr>
                <w:rFonts w:ascii="Calibri" w:eastAsia="Times New Roman" w:hAnsi="Calibri" w:cs="Calibri"/>
                <w:color w:val="000000"/>
                <w:lang w:eastAsia="fr-FR"/>
              </w:rPr>
              <w:t>Avoir des compétences en gestion administrative, financière et matérielle de l’établissement.</w:t>
            </w:r>
          </w:p>
        </w:tc>
        <w:tc>
          <w:tcPr>
            <w:tcW w:w="50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B</w:t>
            </w:r>
          </w:p>
        </w:tc>
        <w:tc>
          <w:tcPr>
            <w:tcW w:w="105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r>
      <w:tr>
        <w:trPr>
          <w:trHeight w:val="340"/>
        </w:trPr>
        <w:tc>
          <w:tcPr>
            <w:tcW w:w="8217"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ascii="Calibri" w:eastAsia="Times New Roman" w:hAnsi="Calibri" w:cs="Calibri"/>
                <w:color w:val="000000"/>
                <w:lang w:eastAsia="fr-FR"/>
              </w:rPr>
            </w:pPr>
            <w:r>
              <w:rPr>
                <w:rFonts w:ascii="Calibri" w:eastAsia="Times New Roman" w:hAnsi="Calibri" w:cs="Calibri"/>
                <w:color w:val="000000"/>
                <w:lang w:eastAsia="fr-FR"/>
              </w:rPr>
              <w:t>Avoir des compétences de gestion de l’infrastructure de l'école.</w:t>
            </w:r>
          </w:p>
        </w:tc>
        <w:tc>
          <w:tcPr>
            <w:tcW w:w="50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 xml:space="preserve">B </w:t>
            </w:r>
          </w:p>
        </w:tc>
        <w:tc>
          <w:tcPr>
            <w:tcW w:w="105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r>
      <w:tr>
        <w:trPr>
          <w:trHeight w:val="340"/>
        </w:trPr>
        <w:tc>
          <w:tcPr>
            <w:tcW w:w="8217"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ascii="Times New Roman" w:eastAsia="Times New Roman" w:hAnsi="Times New Roman" w:cs="Times New Roman"/>
                <w:sz w:val="24"/>
                <w:szCs w:val="24"/>
                <w:lang w:eastAsia="fr-FR"/>
              </w:rPr>
            </w:pPr>
            <w:r>
              <w:rPr>
                <w:rFonts w:ascii="Calibri" w:eastAsia="Times New Roman" w:hAnsi="Calibri" w:cs="Calibri"/>
                <w:color w:val="000000"/>
                <w:lang w:eastAsia="fr-FR"/>
              </w:rPr>
              <w:t xml:space="preserve">Avoir des compétences de gestion de ressources financières. </w:t>
            </w:r>
          </w:p>
        </w:tc>
        <w:tc>
          <w:tcPr>
            <w:tcW w:w="50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 xml:space="preserve">B </w:t>
            </w:r>
          </w:p>
        </w:tc>
        <w:tc>
          <w:tcPr>
            <w:tcW w:w="105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r>
      <w:tr>
        <w:trPr>
          <w:trHeight w:val="340"/>
        </w:trPr>
        <w:tc>
          <w:tcPr>
            <w:tcW w:w="8217"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ascii="Calibri" w:eastAsia="Times New Roman" w:hAnsi="Calibri" w:cs="Calibri"/>
                <w:color w:val="000000"/>
                <w:lang w:eastAsia="fr-FR"/>
              </w:rPr>
            </w:pPr>
            <w:r>
              <w:rPr>
                <w:rFonts w:ascii="Calibri" w:eastAsia="Times New Roman" w:hAnsi="Calibri" w:cs="Calibri"/>
                <w:color w:val="000000"/>
                <w:lang w:eastAsia="fr-FR"/>
              </w:rPr>
              <w:t xml:space="preserve">Avoir des compétences en gestion des ressources humaines. </w:t>
            </w:r>
          </w:p>
        </w:tc>
        <w:tc>
          <w:tcPr>
            <w:tcW w:w="50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B</w:t>
            </w:r>
          </w:p>
        </w:tc>
        <w:tc>
          <w:tcPr>
            <w:tcW w:w="105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r>
      <w:tr>
        <w:trPr>
          <w:trHeight w:val="397"/>
        </w:trPr>
        <w:tc>
          <w:tcPr>
            <w:tcW w:w="9776" w:type="dxa"/>
            <w:gridSpan w:val="7"/>
            <w:tcBorders>
              <w:left w:val="single" w:sz="4" w:space="0" w:color="auto"/>
              <w:right w:val="single" w:sz="4" w:space="0" w:color="auto"/>
            </w:tcBorders>
            <w:shd w:val="clear" w:color="auto" w:fill="001D77"/>
            <w:vAlign w:val="center"/>
          </w:tcPr>
          <w:p>
            <w:pPr>
              <w:tabs>
                <w:tab w:val="left" w:pos="1985"/>
              </w:tabs>
              <w:spacing w:after="0" w:line="240" w:lineRule="auto"/>
              <w:jc w:val="center"/>
              <w:rPr>
                <w:rFonts w:ascii="Calibri" w:eastAsia="Times New Roman" w:hAnsi="Calibri" w:cs="Calibri"/>
                <w:b/>
                <w:lang w:eastAsia="fr-FR"/>
              </w:rPr>
            </w:pPr>
            <w:r>
              <w:rPr>
                <w:rFonts w:ascii="Calibri" w:eastAsia="Times New Roman" w:hAnsi="Calibri" w:cs="Calibri"/>
                <w:b/>
                <w:lang w:eastAsia="fr-FR"/>
              </w:rPr>
              <w:t>Communication</w:t>
            </w:r>
          </w:p>
        </w:tc>
      </w:tr>
      <w:tr>
        <w:trPr>
          <w:trHeight w:val="397"/>
        </w:trPr>
        <w:tc>
          <w:tcPr>
            <w:tcW w:w="8217"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ascii="Times New Roman" w:eastAsia="Times New Roman" w:hAnsi="Times New Roman" w:cs="Times New Roman"/>
                <w:sz w:val="24"/>
                <w:szCs w:val="24"/>
                <w:lang w:eastAsia="fr-FR"/>
              </w:rPr>
            </w:pPr>
            <w:r>
              <w:rPr>
                <w:rFonts w:ascii="Calibri" w:eastAsia="Times New Roman" w:hAnsi="Calibri" w:cs="Calibri"/>
                <w:lang w:eastAsia="fr-FR"/>
              </w:rPr>
              <w:t xml:space="preserve">Maîtriser les techniques de la communication écrite. </w:t>
            </w: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c>
          <w:tcPr>
            <w:tcW w:w="1091"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D</w:t>
            </w:r>
          </w:p>
        </w:tc>
      </w:tr>
      <w:tr>
        <w:trPr>
          <w:trHeight w:val="397"/>
        </w:trPr>
        <w:tc>
          <w:tcPr>
            <w:tcW w:w="8217"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ascii="Calibri" w:eastAsia="Times New Roman" w:hAnsi="Calibri" w:cs="Calibri"/>
                <w:lang w:eastAsia="fr-BE"/>
              </w:rPr>
            </w:pPr>
            <w:r>
              <w:rPr>
                <w:rFonts w:ascii="Calibri" w:eastAsia="Times New Roman" w:hAnsi="Calibri" w:cs="Calibri"/>
                <w:lang w:eastAsia="fr-FR"/>
              </w:rPr>
              <w:t xml:space="preserve">Maîtriser les techniques de la communication orale. </w:t>
            </w: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 xml:space="preserve">C  </w:t>
            </w:r>
          </w:p>
        </w:tc>
        <w:tc>
          <w:tcPr>
            <w:tcW w:w="1091"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D</w:t>
            </w:r>
          </w:p>
        </w:tc>
      </w:tr>
    </w:tbl>
    <w:p>
      <w:pPr>
        <w:tabs>
          <w:tab w:val="left" w:pos="1985"/>
        </w:tabs>
        <w:spacing w:after="0" w:line="240" w:lineRule="auto"/>
        <w:jc w:val="both"/>
        <w:rPr>
          <w:rFonts w:ascii="Calibri" w:eastAsia="Times New Roman" w:hAnsi="Calibri" w:cs="Times New Roman"/>
          <w:sz w:val="24"/>
          <w:szCs w:val="24"/>
          <w:lang w:eastAsia="fr-FR"/>
        </w:rPr>
      </w:pPr>
    </w:p>
    <w:p>
      <w:pPr>
        <w:tabs>
          <w:tab w:val="left" w:pos="1985"/>
        </w:tabs>
        <w:spacing w:after="0" w:line="240" w:lineRule="auto"/>
        <w:jc w:val="both"/>
        <w:rPr>
          <w:rFonts w:ascii="Calibri" w:eastAsia="Times New Roman" w:hAnsi="Calibri" w:cs="Times New Roman"/>
          <w:sz w:val="24"/>
          <w:szCs w:val="24"/>
          <w:lang w:eastAsia="fr-FR"/>
        </w:rPr>
        <w:sectPr>
          <w:pgSz w:w="11906" w:h="16838"/>
          <w:pgMar w:top="720" w:right="720" w:bottom="720" w:left="720" w:header="708" w:footer="227" w:gutter="0"/>
          <w:cols w:space="708"/>
          <w:docGrid w:linePitch="360"/>
        </w:sectPr>
      </w:pPr>
    </w:p>
    <w:tbl>
      <w:tblPr>
        <w:tblpPr w:leftFromText="141" w:rightFromText="141" w:horzAnchor="margin" w:tblpXSpec="center" w:tblpY="337"/>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59"/>
        <w:gridCol w:w="617"/>
        <w:gridCol w:w="38"/>
        <w:gridCol w:w="37"/>
        <w:gridCol w:w="18"/>
        <w:gridCol w:w="974"/>
        <w:gridCol w:w="6"/>
      </w:tblGrid>
      <w:tr>
        <w:trPr>
          <w:gridAfter w:val="1"/>
          <w:wAfter w:w="6" w:type="dxa"/>
          <w:cantSplit/>
          <w:trHeight w:val="699"/>
        </w:trPr>
        <w:tc>
          <w:tcPr>
            <w:tcW w:w="10343" w:type="dxa"/>
            <w:gridSpan w:val="6"/>
            <w:tcBorders>
              <w:left w:val="single" w:sz="4" w:space="0" w:color="auto"/>
              <w:right w:val="single" w:sz="4" w:space="0" w:color="auto"/>
            </w:tcBorders>
            <w:shd w:val="clear" w:color="auto" w:fill="001D77"/>
            <w:vAlign w:val="center"/>
          </w:tcPr>
          <w:p>
            <w:pPr>
              <w:tabs>
                <w:tab w:val="left" w:pos="1985"/>
              </w:tabs>
              <w:spacing w:after="0" w:line="240" w:lineRule="auto"/>
              <w:jc w:val="center"/>
              <w:rPr>
                <w:rFonts w:ascii="Calibri" w:eastAsia="Times New Roman" w:hAnsi="Calibri" w:cs="Times New Roman"/>
                <w:b/>
                <w:color w:val="1F497D"/>
                <w:lang w:eastAsia="fr-FR"/>
              </w:rPr>
            </w:pPr>
            <w:r>
              <w:rPr>
                <w:rFonts w:ascii="Calibri" w:eastAsia="Times New Roman" w:hAnsi="Calibri" w:cs="Times New Roman"/>
                <w:b/>
                <w:sz w:val="24"/>
                <w:lang w:eastAsia="fr-FR"/>
              </w:rPr>
              <w:lastRenderedPageBreak/>
              <w:t>Compétences Comportementales</w:t>
            </w:r>
          </w:p>
        </w:tc>
      </w:tr>
      <w:tr>
        <w:trPr>
          <w:cantSplit/>
          <w:trHeight w:val="546"/>
        </w:trPr>
        <w:tc>
          <w:tcPr>
            <w:tcW w:w="8659" w:type="dxa"/>
            <w:vMerge w:val="restart"/>
            <w:tcBorders>
              <w:left w:val="single" w:sz="4" w:space="0" w:color="auto"/>
              <w:right w:val="single" w:sz="4" w:space="0" w:color="auto"/>
            </w:tcBorders>
            <w:shd w:val="clear" w:color="auto" w:fill="FFFFFF"/>
            <w:vAlign w:val="center"/>
          </w:tcPr>
          <w:p>
            <w:pPr>
              <w:tabs>
                <w:tab w:val="left" w:pos="1985"/>
              </w:tabs>
              <w:spacing w:after="0" w:line="240" w:lineRule="auto"/>
              <w:rPr>
                <w:rFonts w:ascii="Calibri" w:eastAsia="Times New Roman" w:hAnsi="Calibri" w:cs="Times New Roman"/>
                <w:b/>
                <w:color w:val="000000"/>
                <w:lang w:eastAsia="fr-FR"/>
              </w:rPr>
            </w:pPr>
            <w:r>
              <w:rPr>
                <w:rFonts w:ascii="Calibri" w:eastAsia="Times New Roman" w:hAnsi="Calibri" w:cs="Times New Roman"/>
                <w:b/>
                <w:color w:val="000000"/>
                <w:lang w:eastAsia="fr-FR"/>
              </w:rPr>
              <w:t>Niveaux de maitrise</w:t>
            </w:r>
          </w:p>
          <w:p>
            <w:pPr>
              <w:numPr>
                <w:ilvl w:val="0"/>
                <w:numId w:val="41"/>
              </w:numPr>
              <w:tabs>
                <w:tab w:val="left" w:pos="1985"/>
              </w:tabs>
              <w:spacing w:after="0" w:line="240" w:lineRule="auto"/>
              <w:contextualSpacing/>
              <w:rPr>
                <w:rFonts w:ascii="Calibri" w:eastAsia="Times New Roman" w:hAnsi="Calibri" w:cs="Times New Roman"/>
                <w:b/>
                <w:color w:val="000000"/>
                <w:lang w:eastAsia="fr-FR"/>
              </w:rPr>
            </w:pPr>
            <w:r>
              <w:rPr>
                <w:rFonts w:ascii="Calibri" w:eastAsia="Times New Roman" w:hAnsi="Calibri" w:cs="Times New Roman"/>
                <w:b/>
                <w:color w:val="000000"/>
                <w:lang w:eastAsia="fr-FR"/>
              </w:rPr>
              <w:t>Aptitude à acquérir la compétence -&gt; avoir des notions théoriques</w:t>
            </w:r>
          </w:p>
          <w:p>
            <w:pPr>
              <w:numPr>
                <w:ilvl w:val="0"/>
                <w:numId w:val="41"/>
              </w:numPr>
              <w:tabs>
                <w:tab w:val="left" w:pos="1985"/>
              </w:tabs>
              <w:spacing w:after="0" w:line="240" w:lineRule="auto"/>
              <w:contextualSpacing/>
              <w:rPr>
                <w:rFonts w:ascii="Calibri" w:eastAsia="Times New Roman" w:hAnsi="Calibri" w:cs="Times New Roman"/>
                <w:b/>
                <w:color w:val="000000"/>
                <w:lang w:eastAsia="fr-FR"/>
              </w:rPr>
            </w:pPr>
            <w:r>
              <w:rPr>
                <w:rFonts w:ascii="Calibri" w:eastAsia="Times New Roman" w:hAnsi="Calibri" w:cs="Times New Roman"/>
                <w:b/>
                <w:color w:val="000000"/>
                <w:lang w:eastAsia="fr-FR"/>
              </w:rPr>
              <w:t>Élémentaire -&gt; agir de façon réactive, avec accompagnement</w:t>
            </w:r>
          </w:p>
          <w:p>
            <w:pPr>
              <w:numPr>
                <w:ilvl w:val="0"/>
                <w:numId w:val="41"/>
              </w:numPr>
              <w:tabs>
                <w:tab w:val="left" w:pos="1985"/>
              </w:tabs>
              <w:spacing w:after="0" w:line="240" w:lineRule="auto"/>
              <w:contextualSpacing/>
              <w:rPr>
                <w:rFonts w:ascii="Calibri" w:eastAsia="Times New Roman" w:hAnsi="Calibri" w:cs="Times New Roman"/>
                <w:b/>
                <w:color w:val="000000"/>
                <w:lang w:eastAsia="fr-FR"/>
              </w:rPr>
            </w:pPr>
            <w:r>
              <w:rPr>
                <w:rFonts w:ascii="Calibri" w:eastAsia="Times New Roman" w:hAnsi="Calibri" w:cs="Times New Roman"/>
                <w:b/>
                <w:color w:val="000000"/>
                <w:lang w:eastAsia="fr-FR"/>
              </w:rPr>
              <w:t>Intermédiaire -&gt; agir de façon proactive, autonome</w:t>
            </w:r>
          </w:p>
          <w:p>
            <w:pPr>
              <w:numPr>
                <w:ilvl w:val="0"/>
                <w:numId w:val="41"/>
              </w:numPr>
              <w:tabs>
                <w:tab w:val="left" w:pos="1985"/>
              </w:tabs>
              <w:spacing w:after="0" w:line="240" w:lineRule="auto"/>
              <w:contextualSpacing/>
              <w:rPr>
                <w:rFonts w:ascii="Calibri" w:eastAsia="Times New Roman" w:hAnsi="Calibri" w:cs="Times New Roman"/>
                <w:b/>
                <w:color w:val="1F497D"/>
                <w:lang w:eastAsia="fr-FR"/>
              </w:rPr>
            </w:pPr>
            <w:r>
              <w:rPr>
                <w:rFonts w:ascii="Calibri" w:eastAsia="Times New Roman" w:hAnsi="Calibri" w:cs="Times New Roman"/>
                <w:b/>
                <w:color w:val="000000"/>
                <w:lang w:eastAsia="fr-FR"/>
              </w:rPr>
              <w:t>Avancé -&gt; agir avec excellence, faire preuve d’anticipation</w:t>
            </w:r>
          </w:p>
          <w:p>
            <w:pPr>
              <w:tabs>
                <w:tab w:val="left" w:pos="1985"/>
              </w:tabs>
              <w:spacing w:after="0" w:line="240" w:lineRule="auto"/>
              <w:ind w:left="785"/>
              <w:contextualSpacing/>
              <w:rPr>
                <w:rFonts w:ascii="Calibri" w:eastAsia="Times New Roman" w:hAnsi="Calibri" w:cs="Times New Roman"/>
                <w:b/>
                <w:color w:val="1F497D"/>
                <w:lang w:eastAsia="fr-FR"/>
              </w:rPr>
            </w:pPr>
          </w:p>
        </w:tc>
        <w:tc>
          <w:tcPr>
            <w:tcW w:w="1690" w:type="dxa"/>
            <w:gridSpan w:val="6"/>
            <w:tcBorders>
              <w:left w:val="single" w:sz="4" w:space="0" w:color="auto"/>
            </w:tcBorders>
            <w:shd w:val="clear" w:color="auto" w:fill="FFFFFF"/>
            <w:vAlign w:val="center"/>
          </w:tcPr>
          <w:p>
            <w:pPr>
              <w:spacing w:after="0" w:line="240" w:lineRule="auto"/>
              <w:jc w:val="center"/>
              <w:rPr>
                <w:rFonts w:ascii="Times New Roman" w:eastAsia="Times New Roman" w:hAnsi="Times New Roman" w:cs="Times New Roman"/>
                <w:sz w:val="24"/>
                <w:szCs w:val="24"/>
                <w:lang w:val="fr-FR" w:eastAsia="fr-FR"/>
              </w:rPr>
            </w:pPr>
            <w:r>
              <w:rPr>
                <w:rFonts w:ascii="Calibri" w:eastAsia="Times New Roman" w:hAnsi="Calibri" w:cs="Calibri"/>
                <w:lang w:eastAsia="fr-FR"/>
              </w:rPr>
              <w:t xml:space="preserve">Niveau attendu en : </w:t>
            </w:r>
          </w:p>
        </w:tc>
      </w:tr>
      <w:tr>
        <w:trPr>
          <w:cantSplit/>
          <w:trHeight w:val="1056"/>
        </w:trPr>
        <w:tc>
          <w:tcPr>
            <w:tcW w:w="8659" w:type="dxa"/>
            <w:vMerge/>
            <w:tcBorders>
              <w:left w:val="single" w:sz="4" w:space="0" w:color="auto"/>
              <w:right w:val="single" w:sz="4" w:space="0" w:color="auto"/>
            </w:tcBorders>
            <w:shd w:val="clear" w:color="auto" w:fill="FFFFFF"/>
            <w:vAlign w:val="center"/>
          </w:tcPr>
          <w:p>
            <w:pPr>
              <w:tabs>
                <w:tab w:val="left" w:pos="1985"/>
              </w:tabs>
              <w:spacing w:after="0" w:line="240" w:lineRule="auto"/>
              <w:rPr>
                <w:rFonts w:ascii="Calibri" w:eastAsia="Times New Roman" w:hAnsi="Calibri" w:cs="Times New Roman"/>
                <w:b/>
                <w:color w:val="000000"/>
                <w:lang w:eastAsia="fr-FR"/>
              </w:rPr>
            </w:pPr>
          </w:p>
        </w:tc>
        <w:tc>
          <w:tcPr>
            <w:tcW w:w="710" w:type="dxa"/>
            <w:gridSpan w:val="4"/>
            <w:tcBorders>
              <w:left w:val="single" w:sz="4" w:space="0" w:color="auto"/>
              <w:right w:val="single" w:sz="4" w:space="0" w:color="auto"/>
            </w:tcBorders>
            <w:shd w:val="clear" w:color="auto" w:fill="FFFFFF"/>
            <w:vAlign w:val="center"/>
          </w:tcPr>
          <w:p>
            <w:pPr>
              <w:spacing w:after="0" w:line="240" w:lineRule="auto"/>
              <w:jc w:val="center"/>
              <w:rPr>
                <w:rFonts w:ascii="Calibri" w:eastAsia="Times New Roman" w:hAnsi="Calibri" w:cs="Calibri"/>
                <w:lang w:eastAsia="fr-FR"/>
              </w:rPr>
            </w:pPr>
            <w:r>
              <w:rPr>
                <w:rFonts w:ascii="Calibri" w:eastAsia="Times New Roman" w:hAnsi="Calibri" w:cs="Calibri"/>
                <w:lang w:eastAsia="fr-FR"/>
              </w:rPr>
              <w:t>Jury</w:t>
            </w:r>
          </w:p>
        </w:tc>
        <w:tc>
          <w:tcPr>
            <w:tcW w:w="980" w:type="dxa"/>
            <w:gridSpan w:val="2"/>
            <w:tcBorders>
              <w:left w:val="single" w:sz="4" w:space="0" w:color="auto"/>
              <w:right w:val="single" w:sz="4" w:space="0" w:color="auto"/>
            </w:tcBorders>
            <w:shd w:val="clear" w:color="auto" w:fill="FFFFFF"/>
            <w:vAlign w:val="center"/>
          </w:tcPr>
          <w:p>
            <w:pPr>
              <w:spacing w:after="0" w:line="240" w:lineRule="auto"/>
              <w:jc w:val="center"/>
              <w:rPr>
                <w:rFonts w:ascii="Calibri" w:eastAsia="Times New Roman" w:hAnsi="Calibri" w:cs="Calibri"/>
                <w:lang w:eastAsia="fr-FR"/>
              </w:rPr>
            </w:pPr>
            <w:r>
              <w:rPr>
                <w:rFonts w:ascii="Calibri" w:eastAsia="Times New Roman" w:hAnsi="Calibri" w:cs="Calibri"/>
                <w:lang w:eastAsia="fr-FR"/>
              </w:rPr>
              <w:t>Fonction</w:t>
            </w:r>
          </w:p>
        </w:tc>
      </w:tr>
      <w:tr>
        <w:trPr>
          <w:gridAfter w:val="1"/>
          <w:wAfter w:w="6" w:type="dxa"/>
          <w:trHeight w:val="338"/>
        </w:trPr>
        <w:tc>
          <w:tcPr>
            <w:tcW w:w="10343" w:type="dxa"/>
            <w:gridSpan w:val="6"/>
            <w:tcBorders>
              <w:left w:val="single" w:sz="4" w:space="0" w:color="auto"/>
              <w:right w:val="single" w:sz="4" w:space="0" w:color="auto"/>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b/>
                <w:lang w:eastAsia="fr-FR"/>
              </w:rPr>
              <w:t>Innover</w:t>
            </w:r>
          </w:p>
        </w:tc>
      </w:tr>
      <w:tr>
        <w:trPr>
          <w:trHeight w:val="338"/>
        </w:trPr>
        <w:tc>
          <w:tcPr>
            <w:tcW w:w="8659"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ascii="Calibri" w:eastAsia="Times New Roman" w:hAnsi="Calibri" w:cs="Calibri"/>
                <w:lang w:eastAsia="fr-FR"/>
              </w:rPr>
            </w:pPr>
            <w:r>
              <w:rPr>
                <w:rFonts w:ascii="Calibri" w:eastAsia="Times New Roman" w:hAnsi="Calibri" w:cs="Calibri"/>
                <w:lang w:val="fr-FR" w:eastAsia="fr-FR"/>
              </w:rPr>
              <w:t xml:space="preserve">Avoir une capacité d’observation objective et d’analyse du fonctionnement de son école en vue, le cas échéant, de dégager des pistes d’action alternatives. </w:t>
            </w:r>
          </w:p>
        </w:tc>
        <w:tc>
          <w:tcPr>
            <w:tcW w:w="6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 xml:space="preserve">C </w:t>
            </w:r>
          </w:p>
        </w:tc>
        <w:tc>
          <w:tcPr>
            <w:tcW w:w="99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D</w:t>
            </w:r>
          </w:p>
        </w:tc>
      </w:tr>
      <w:tr>
        <w:trPr>
          <w:trHeight w:val="338"/>
        </w:trPr>
        <w:tc>
          <w:tcPr>
            <w:tcW w:w="8659"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ascii="Calibri" w:eastAsia="Times New Roman" w:hAnsi="Calibri" w:cs="Calibri"/>
                <w:lang w:val="fr-FR" w:eastAsia="fr-FR"/>
              </w:rPr>
            </w:pPr>
            <w:r>
              <w:rPr>
                <w:rFonts w:ascii="Calibri" w:eastAsia="Times New Roman" w:hAnsi="Calibri" w:cs="Calibri"/>
                <w:lang w:val="fr-FR" w:eastAsia="fr-FR"/>
              </w:rPr>
              <w:t>Être capable d'accompagner le changement.</w:t>
            </w:r>
          </w:p>
        </w:tc>
        <w:tc>
          <w:tcPr>
            <w:tcW w:w="6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 xml:space="preserve">C </w:t>
            </w:r>
          </w:p>
        </w:tc>
        <w:tc>
          <w:tcPr>
            <w:tcW w:w="99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D</w:t>
            </w:r>
          </w:p>
        </w:tc>
      </w:tr>
      <w:tr>
        <w:trPr>
          <w:trHeight w:val="338"/>
        </w:trPr>
        <w:tc>
          <w:tcPr>
            <w:tcW w:w="8659"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ascii="Calibri" w:eastAsia="Times New Roman" w:hAnsi="Calibri" w:cs="Calibri"/>
                <w:lang w:val="fr-FR" w:eastAsia="fr-FR"/>
              </w:rPr>
            </w:pPr>
            <w:r>
              <w:rPr>
                <w:rFonts w:ascii="Calibri" w:eastAsia="Times New Roman" w:hAnsi="Calibri" w:cs="Calibri"/>
                <w:lang w:val="fr-FR" w:eastAsia="fr-FR"/>
              </w:rPr>
              <w:t>Etablir des liens entre les diverses données, concevoir des alternatives et tirer des conclusions adéquates.</w:t>
            </w:r>
          </w:p>
        </w:tc>
        <w:tc>
          <w:tcPr>
            <w:tcW w:w="6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 xml:space="preserve">C </w:t>
            </w:r>
          </w:p>
        </w:tc>
        <w:tc>
          <w:tcPr>
            <w:tcW w:w="99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D</w:t>
            </w:r>
          </w:p>
        </w:tc>
      </w:tr>
      <w:tr>
        <w:trPr>
          <w:gridAfter w:val="1"/>
          <w:wAfter w:w="6" w:type="dxa"/>
          <w:trHeight w:val="338"/>
        </w:trPr>
        <w:tc>
          <w:tcPr>
            <w:tcW w:w="10343" w:type="dxa"/>
            <w:gridSpan w:val="6"/>
            <w:tcBorders>
              <w:left w:val="single" w:sz="4" w:space="0" w:color="auto"/>
              <w:right w:val="single" w:sz="4" w:space="0" w:color="auto"/>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b/>
                <w:lang w:eastAsia="fr-FR"/>
              </w:rPr>
              <w:t>Souder des équipes</w:t>
            </w:r>
          </w:p>
        </w:tc>
      </w:tr>
      <w:tr>
        <w:trPr>
          <w:trHeight w:val="338"/>
        </w:trPr>
        <w:tc>
          <w:tcPr>
            <w:tcW w:w="8659"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ascii="Calibri" w:eastAsia="Times New Roman" w:hAnsi="Calibri" w:cs="Calibri"/>
                <w:lang w:val="fr-FR" w:eastAsia="fr-FR"/>
              </w:rPr>
            </w:pPr>
            <w:r>
              <w:rPr>
                <w:rFonts w:ascii="Calibri" w:eastAsia="Times New Roman" w:hAnsi="Calibri" w:cs="Calibri"/>
                <w:lang w:val="fr-FR" w:eastAsia="fr-FR"/>
              </w:rPr>
              <w:t>Être capable de prendre des décisions et de s’y tenir après avoir instruit la question à trancher et/ou au terme d’un processus participatif.</w:t>
            </w:r>
          </w:p>
        </w:tc>
        <w:tc>
          <w:tcPr>
            <w:tcW w:w="6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c>
          <w:tcPr>
            <w:tcW w:w="103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r>
      <w:tr>
        <w:trPr>
          <w:trHeight w:val="338"/>
        </w:trPr>
        <w:tc>
          <w:tcPr>
            <w:tcW w:w="8659"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eastAsia="Times New Roman" w:cs="Calibri"/>
                <w:lang w:val="fr-FR" w:eastAsia="fr-FR"/>
              </w:rPr>
            </w:pPr>
            <w:r>
              <w:rPr>
                <w:rFonts w:ascii="Calibri" w:eastAsia="Times New Roman" w:hAnsi="Calibri" w:cs="Calibri"/>
                <w:lang w:val="fr-FR" w:eastAsia="fr-FR"/>
              </w:rPr>
              <w:t>Être capable de fédérer les équipes autour de projets communs et de gérer des projets collectifs.</w:t>
            </w:r>
          </w:p>
        </w:tc>
        <w:tc>
          <w:tcPr>
            <w:tcW w:w="6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c>
          <w:tcPr>
            <w:tcW w:w="103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r>
      <w:tr>
        <w:trPr>
          <w:trHeight w:val="338"/>
        </w:trPr>
        <w:tc>
          <w:tcPr>
            <w:tcW w:w="8659"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ascii="Calibri" w:eastAsia="Times New Roman" w:hAnsi="Calibri" w:cs="Calibri"/>
                <w:lang w:val="fr-FR" w:eastAsia="fr-FR"/>
              </w:rPr>
            </w:pPr>
            <w:r>
              <w:rPr>
                <w:rFonts w:eastAsia="Times New Roman" w:cs="Calibri"/>
                <w:lang w:val="fr-FR" w:eastAsia="fr-FR"/>
              </w:rPr>
              <w:t>Affronter les conflits et les résoudre en identifiant correctement les difficultés et en entreprenant les actions adéquates.</w:t>
            </w:r>
          </w:p>
        </w:tc>
        <w:tc>
          <w:tcPr>
            <w:tcW w:w="6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c>
          <w:tcPr>
            <w:tcW w:w="103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r>
      <w:tr>
        <w:trPr>
          <w:trHeight w:val="338"/>
        </w:trPr>
        <w:tc>
          <w:tcPr>
            <w:tcW w:w="8659"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ascii="Calibri" w:eastAsia="Times New Roman" w:hAnsi="Calibri" w:cs="Calibri"/>
                <w:lang w:eastAsia="fr-BE"/>
              </w:rPr>
            </w:pPr>
            <w:r>
              <w:rPr>
                <w:rFonts w:ascii="Calibri" w:eastAsia="Times New Roman" w:hAnsi="Calibri" w:cs="Calibri"/>
                <w:lang w:val="fr-FR" w:eastAsia="fr-FR"/>
              </w:rPr>
              <w:t xml:space="preserve">Reconnaitre les qualités des collaborateurs, les stimuler à prendre des initiatives en leur donnant des responsabilités et en adaptant son propre style de leadership. </w:t>
            </w:r>
          </w:p>
        </w:tc>
        <w:tc>
          <w:tcPr>
            <w:tcW w:w="6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c>
          <w:tcPr>
            <w:tcW w:w="103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r>
      <w:tr>
        <w:trPr>
          <w:gridAfter w:val="1"/>
          <w:wAfter w:w="6" w:type="dxa"/>
          <w:trHeight w:val="338"/>
        </w:trPr>
        <w:tc>
          <w:tcPr>
            <w:tcW w:w="10343" w:type="dxa"/>
            <w:gridSpan w:val="6"/>
            <w:tcBorders>
              <w:left w:val="single" w:sz="4" w:space="0" w:color="auto"/>
              <w:right w:val="single" w:sz="4" w:space="0" w:color="auto"/>
            </w:tcBorders>
            <w:shd w:val="clear" w:color="auto" w:fill="001D77"/>
            <w:vAlign w:val="center"/>
          </w:tcPr>
          <w:p>
            <w:pPr>
              <w:tabs>
                <w:tab w:val="left" w:pos="1985"/>
              </w:tabs>
              <w:spacing w:after="0" w:line="240" w:lineRule="auto"/>
              <w:jc w:val="center"/>
              <w:rPr>
                <w:rFonts w:ascii="Calibri" w:eastAsia="Times New Roman" w:hAnsi="Calibri" w:cs="Calibri"/>
                <w:b/>
                <w:lang w:eastAsia="fr-FR"/>
              </w:rPr>
            </w:pPr>
            <w:r>
              <w:rPr>
                <w:rFonts w:ascii="Calibri" w:eastAsia="Times New Roman" w:hAnsi="Calibri" w:cs="Calibri"/>
                <w:b/>
                <w:lang w:eastAsia="fr-FR"/>
              </w:rPr>
              <w:t>Conseiller</w:t>
            </w:r>
          </w:p>
        </w:tc>
      </w:tr>
      <w:tr>
        <w:trPr>
          <w:trHeight w:val="338"/>
        </w:trPr>
        <w:tc>
          <w:tcPr>
            <w:tcW w:w="8659"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ascii="Calibri" w:eastAsia="Times New Roman" w:hAnsi="Calibri" w:cs="Calibri"/>
                <w:lang w:val="fr-FR" w:eastAsia="fr-FR"/>
              </w:rPr>
            </w:pPr>
            <w:r>
              <w:rPr>
                <w:rFonts w:ascii="Calibri" w:hAnsi="Calibri" w:cs="Calibri"/>
                <w:lang w:val="fr"/>
              </w:rPr>
              <w:t>Fournir des conseils à vos interlocuteurs et développer avec eux une relation de confiance basée sur votre expertise.</w:t>
            </w:r>
          </w:p>
        </w:tc>
        <w:tc>
          <w:tcPr>
            <w:tcW w:w="6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c>
          <w:tcPr>
            <w:tcW w:w="103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r>
      <w:tr>
        <w:trPr>
          <w:trHeight w:val="338"/>
        </w:trPr>
        <w:tc>
          <w:tcPr>
            <w:tcW w:w="8659"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ascii="Calibri" w:hAnsi="Calibri" w:cs="Calibri"/>
                <w:lang w:val="fr"/>
              </w:rPr>
            </w:pPr>
            <w:r>
              <w:rPr>
                <w:rFonts w:ascii="Calibri" w:eastAsia="Times New Roman" w:hAnsi="Calibri" w:cs="Calibri"/>
                <w:lang w:val="fr-FR" w:eastAsia="fr-FR"/>
              </w:rPr>
              <w:t>Avoir le sens de l’écoute et de la communication ; être capable de manifester de l’empathie, de l’enthousiasme et de la reconnaissance.</w:t>
            </w:r>
          </w:p>
        </w:tc>
        <w:tc>
          <w:tcPr>
            <w:tcW w:w="6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 xml:space="preserve">C  </w:t>
            </w:r>
          </w:p>
        </w:tc>
        <w:tc>
          <w:tcPr>
            <w:tcW w:w="103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D</w:t>
            </w:r>
          </w:p>
        </w:tc>
      </w:tr>
      <w:tr>
        <w:trPr>
          <w:gridAfter w:val="1"/>
          <w:wAfter w:w="6" w:type="dxa"/>
          <w:trHeight w:val="338"/>
        </w:trPr>
        <w:tc>
          <w:tcPr>
            <w:tcW w:w="10343" w:type="dxa"/>
            <w:gridSpan w:val="6"/>
            <w:tcBorders>
              <w:left w:val="single" w:sz="4" w:space="0" w:color="auto"/>
              <w:right w:val="single" w:sz="4" w:space="0" w:color="auto"/>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b/>
                <w:lang w:eastAsia="fr-FR"/>
              </w:rPr>
              <w:t>Faire preuve de fiabilité</w:t>
            </w:r>
          </w:p>
        </w:tc>
      </w:tr>
      <w:tr>
        <w:trPr>
          <w:trHeight w:val="338"/>
        </w:trPr>
        <w:tc>
          <w:tcPr>
            <w:tcW w:w="8659"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ascii="Calibri" w:eastAsia="Times New Roman" w:hAnsi="Calibri" w:cs="Calibri"/>
                <w:lang w:val="fr-FR" w:eastAsia="fr-FR"/>
              </w:rPr>
            </w:pPr>
            <w:r>
              <w:rPr>
                <w:rFonts w:ascii="Calibri" w:eastAsia="Times New Roman" w:hAnsi="Calibri" w:cs="Calibri"/>
                <w:lang w:val="fr-FR" w:eastAsia="fr-FR"/>
              </w:rPr>
              <w:t>Être cohérent dans ses principes, ses valeurs et son comportement, avoir le sens de l’intérêt général et respecter la dignité de la fonction.</w:t>
            </w:r>
          </w:p>
        </w:tc>
        <w:tc>
          <w:tcPr>
            <w:tcW w:w="617" w:type="dxa"/>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c>
          <w:tcPr>
            <w:tcW w:w="107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r>
      <w:tr>
        <w:trPr>
          <w:trHeight w:val="338"/>
        </w:trPr>
        <w:tc>
          <w:tcPr>
            <w:tcW w:w="8659"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ascii="Calibri" w:eastAsia="Times New Roman" w:hAnsi="Calibri" w:cs="Calibri"/>
                <w:lang w:val="fr-FR" w:eastAsia="fr-FR"/>
              </w:rPr>
            </w:pPr>
            <w:r>
              <w:rPr>
                <w:rFonts w:ascii="Calibri" w:eastAsia="Times New Roman" w:hAnsi="Calibri" w:cs="Calibri"/>
                <w:lang w:val="fr-FR" w:eastAsia="fr-FR"/>
              </w:rPr>
              <w:t>S’impliquer et démontrer de la volonté et de l’ambition afin de générer des résultats et assumer la responsabilité de la qualité des actions entreprises.</w:t>
            </w:r>
          </w:p>
        </w:tc>
        <w:tc>
          <w:tcPr>
            <w:tcW w:w="617" w:type="dxa"/>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c>
          <w:tcPr>
            <w:tcW w:w="107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D</w:t>
            </w:r>
          </w:p>
        </w:tc>
      </w:tr>
      <w:tr>
        <w:trPr>
          <w:gridAfter w:val="1"/>
          <w:wAfter w:w="6" w:type="dxa"/>
          <w:trHeight w:val="340"/>
        </w:trPr>
        <w:tc>
          <w:tcPr>
            <w:tcW w:w="10343" w:type="dxa"/>
            <w:gridSpan w:val="6"/>
            <w:tcBorders>
              <w:left w:val="single" w:sz="4" w:space="0" w:color="auto"/>
              <w:right w:val="single" w:sz="4" w:space="0" w:color="auto"/>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b/>
                <w:lang w:eastAsia="fr-FR"/>
              </w:rPr>
              <w:t>Décider</w:t>
            </w:r>
          </w:p>
        </w:tc>
      </w:tr>
      <w:tr>
        <w:trPr>
          <w:trHeight w:val="397"/>
        </w:trPr>
        <w:tc>
          <w:tcPr>
            <w:tcW w:w="8659"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ascii="Calibri" w:eastAsia="Times New Roman" w:hAnsi="Calibri" w:cs="Calibri"/>
                <w:lang w:val="fr-FR" w:eastAsia="fr-FR"/>
              </w:rPr>
            </w:pPr>
            <w:r>
              <w:rPr>
                <w:rFonts w:ascii="Calibri" w:hAnsi="Calibri" w:cs="Calibri"/>
              </w:rPr>
              <w:t>Définir les objectifs de manière pro active, étayer des plans d'actions de manière minutieuse en y impliquant des bonnes ressources dans les délais disponibles</w:t>
            </w:r>
          </w:p>
        </w:tc>
        <w:tc>
          <w:tcPr>
            <w:tcW w:w="617" w:type="dxa"/>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B</w:t>
            </w:r>
          </w:p>
        </w:tc>
        <w:tc>
          <w:tcPr>
            <w:tcW w:w="107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r>
      <w:tr>
        <w:trPr>
          <w:trHeight w:val="397"/>
        </w:trPr>
        <w:tc>
          <w:tcPr>
            <w:tcW w:w="8659"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ascii="Calibri" w:eastAsia="Times New Roman" w:hAnsi="Calibri" w:cs="Calibri"/>
                <w:lang w:val="fr-FR" w:eastAsia="fr-FR"/>
              </w:rPr>
            </w:pPr>
            <w:r>
              <w:rPr>
                <w:rFonts w:ascii="Calibri" w:eastAsia="Times New Roman" w:hAnsi="Calibri" w:cs="Calibri"/>
                <w:lang w:val="fr-FR" w:eastAsia="fr-FR"/>
              </w:rPr>
              <w:t>Prendre des décisions à partir d’informations (in)complètes et initier des actions ciblées afin de mettre en œuvre les décisions.</w:t>
            </w:r>
          </w:p>
        </w:tc>
        <w:tc>
          <w:tcPr>
            <w:tcW w:w="617" w:type="dxa"/>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 xml:space="preserve">B </w:t>
            </w:r>
          </w:p>
        </w:tc>
        <w:tc>
          <w:tcPr>
            <w:tcW w:w="107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r>
      <w:tr>
        <w:trPr>
          <w:gridAfter w:val="1"/>
          <w:wAfter w:w="6" w:type="dxa"/>
          <w:trHeight w:val="338"/>
        </w:trPr>
        <w:tc>
          <w:tcPr>
            <w:tcW w:w="10343" w:type="dxa"/>
            <w:gridSpan w:val="6"/>
            <w:tcBorders>
              <w:left w:val="single" w:sz="4" w:space="0" w:color="auto"/>
              <w:right w:val="single" w:sz="4" w:space="0" w:color="auto"/>
            </w:tcBorders>
            <w:shd w:val="clear" w:color="auto" w:fill="001D77"/>
            <w:vAlign w:val="center"/>
          </w:tcPr>
          <w:p>
            <w:pPr>
              <w:tabs>
                <w:tab w:val="left" w:pos="1985"/>
              </w:tabs>
              <w:spacing w:after="0" w:line="240" w:lineRule="auto"/>
              <w:jc w:val="center"/>
              <w:rPr>
                <w:rFonts w:ascii="Calibri" w:eastAsia="Times New Roman" w:hAnsi="Calibri" w:cs="Calibri"/>
                <w:b/>
                <w:lang w:val="fr-FR" w:eastAsia="fr-FR"/>
              </w:rPr>
            </w:pPr>
            <w:r>
              <w:rPr>
                <w:rFonts w:ascii="Calibri" w:eastAsia="Times New Roman" w:hAnsi="Calibri" w:cs="Calibri"/>
                <w:b/>
                <w:lang w:val="fr-FR" w:eastAsia="fr-FR"/>
              </w:rPr>
              <w:t>Gérer le stress</w:t>
            </w:r>
          </w:p>
        </w:tc>
      </w:tr>
      <w:tr>
        <w:trPr>
          <w:trHeight w:val="338"/>
        </w:trPr>
        <w:tc>
          <w:tcPr>
            <w:tcW w:w="8659"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ascii="Calibri" w:eastAsia="Times New Roman" w:hAnsi="Calibri" w:cs="Calibri"/>
                <w:lang w:val="fr-FR" w:eastAsia="fr-FR"/>
              </w:rPr>
            </w:pPr>
            <w:r>
              <w:rPr>
                <w:rFonts w:ascii="Calibri" w:eastAsia="Times New Roman" w:hAnsi="Calibri" w:cs="Calibri"/>
                <w:lang w:val="fr-FR" w:eastAsia="fr-FR"/>
              </w:rPr>
              <w:t>Réagir au stress en se focalisant sur le résultat en gérant ses émotions et en adoptant une attitude constructive face à la critique.</w:t>
            </w:r>
          </w:p>
        </w:tc>
        <w:tc>
          <w:tcPr>
            <w:tcW w:w="617" w:type="dxa"/>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val="fr-FR" w:eastAsia="fr-FR"/>
              </w:rPr>
            </w:pPr>
            <w:r>
              <w:rPr>
                <w:rFonts w:ascii="Calibri" w:eastAsia="Times New Roman" w:hAnsi="Calibri" w:cs="Calibri"/>
                <w:lang w:val="fr-FR" w:eastAsia="fr-FR"/>
              </w:rPr>
              <w:t>C</w:t>
            </w:r>
          </w:p>
        </w:tc>
        <w:tc>
          <w:tcPr>
            <w:tcW w:w="107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val="fr-FR" w:eastAsia="fr-FR"/>
              </w:rPr>
            </w:pPr>
            <w:r>
              <w:rPr>
                <w:rFonts w:ascii="Calibri" w:eastAsia="Times New Roman" w:hAnsi="Calibri" w:cs="Calibri"/>
                <w:lang w:val="fr-FR" w:eastAsia="fr-FR"/>
              </w:rPr>
              <w:t>C</w:t>
            </w:r>
          </w:p>
        </w:tc>
      </w:tr>
    </w:tbl>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hd w:val="clear" w:color="auto" w:fill="001D77"/>
        <w:spacing w:after="160" w:line="259" w:lineRule="auto"/>
        <w:jc w:val="center"/>
        <w:rPr>
          <w:rFonts w:cstheme="minorHAnsi"/>
          <w:sz w:val="28"/>
        </w:rPr>
      </w:pPr>
      <w:r>
        <w:rPr>
          <w:rFonts w:cstheme="minorHAnsi"/>
          <w:i/>
          <w:sz w:val="28"/>
        </w:rPr>
        <w:lastRenderedPageBreak/>
        <w:t xml:space="preserve">Compétences investiguées </w:t>
      </w:r>
    </w:p>
    <w:p>
      <w:pPr>
        <w:tabs>
          <w:tab w:val="right" w:pos="9072"/>
        </w:tabs>
        <w:spacing w:after="160" w:line="259" w:lineRule="auto"/>
        <w:rPr>
          <w:rFonts w:cstheme="minorHAnsi"/>
        </w:rPr>
      </w:pPr>
      <w:r>
        <w:rPr>
          <w:rFonts w:cstheme="minorHAnsi"/>
        </w:rPr>
        <w:t xml:space="preserve">Voici un récapitulatif des compétences qui seront investiguées : </w:t>
      </w:r>
      <w:r>
        <w:rPr>
          <w:rFonts w:cstheme="minorHAnsi"/>
        </w:rPr>
        <w:tab/>
      </w:r>
    </w:p>
    <w:p>
      <w:pPr>
        <w:jc w:val="both"/>
        <w:rPr>
          <w:rFonts w:cs="Arial"/>
          <w:b/>
          <w:szCs w:val="20"/>
        </w:rPr>
      </w:pPr>
      <w:r>
        <w:rPr>
          <w:rFonts w:cs="Arial"/>
          <w:b/>
          <w:szCs w:val="20"/>
        </w:rPr>
        <w:t xml:space="preserve">Il faut minimum 60% des points pour figurer dans le classement des lauréats potentiels (minimum de 60/100) soit : 84/140. </w:t>
      </w:r>
    </w:p>
    <w:p>
      <w:pPr>
        <w:jc w:val="both"/>
        <w:rPr>
          <w:rFonts w:cs="Arial"/>
          <w:b/>
          <w:szCs w:val="20"/>
        </w:rPr>
      </w:pPr>
    </w:p>
    <w:tbl>
      <w:tblPr>
        <w:tblpPr w:leftFromText="141" w:rightFromText="141" w:vertAnchor="page" w:horzAnchor="margin" w:tblpY="3709"/>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650"/>
        <w:gridCol w:w="1417"/>
      </w:tblGrid>
      <w:tr>
        <w:trPr>
          <w:trHeight w:val="841"/>
        </w:trPr>
        <w:tc>
          <w:tcPr>
            <w:tcW w:w="7650" w:type="dxa"/>
            <w:tcBorders>
              <w:left w:val="single" w:sz="4" w:space="0" w:color="auto"/>
              <w:right w:val="single" w:sz="4" w:space="0" w:color="auto"/>
            </w:tcBorders>
            <w:shd w:val="clear" w:color="auto" w:fill="FFFFFF" w:themeFill="background1"/>
            <w:vAlign w:val="center"/>
          </w:tcPr>
          <w:p>
            <w:pPr>
              <w:tabs>
                <w:tab w:val="left" w:pos="1985"/>
              </w:tabs>
              <w:spacing w:after="0" w:line="240" w:lineRule="auto"/>
              <w:jc w:val="center"/>
              <w:rPr>
                <w:rFonts w:ascii="Calibri" w:eastAsia="Times New Roman" w:hAnsi="Calibri" w:cs="Calibri"/>
                <w:b/>
                <w:lang w:val="fr-FR" w:eastAsia="fr-FR"/>
              </w:rPr>
            </w:pPr>
            <w:r>
              <w:rPr>
                <w:rFonts w:ascii="Calibri" w:eastAsia="Times New Roman" w:hAnsi="Calibri" w:cs="Calibri"/>
                <w:b/>
                <w:sz w:val="24"/>
                <w:lang w:val="fr-FR" w:eastAsia="fr-FR"/>
              </w:rPr>
              <w:t>Profil de compétence</w:t>
            </w:r>
          </w:p>
        </w:tc>
        <w:tc>
          <w:tcPr>
            <w:tcW w:w="1417" w:type="dxa"/>
            <w:tcBorders>
              <w:left w:val="single" w:sz="4" w:space="0" w:color="auto"/>
              <w:right w:val="single" w:sz="4" w:space="0" w:color="auto"/>
            </w:tcBorders>
            <w:shd w:val="clear" w:color="auto" w:fill="001D77"/>
            <w:vAlign w:val="center"/>
          </w:tcPr>
          <w:p>
            <w:pPr>
              <w:tabs>
                <w:tab w:val="left" w:pos="1985"/>
              </w:tabs>
              <w:spacing w:after="0" w:line="240" w:lineRule="auto"/>
              <w:jc w:val="center"/>
              <w:rPr>
                <w:rFonts w:ascii="Calibri" w:eastAsia="Times New Roman" w:hAnsi="Calibri" w:cs="Calibri"/>
                <w:b/>
                <w:lang w:eastAsia="fr-FR"/>
              </w:rPr>
            </w:pPr>
            <w:r>
              <w:rPr>
                <w:rFonts w:ascii="Calibri" w:eastAsia="Times New Roman" w:hAnsi="Calibri" w:cs="Calibri"/>
                <w:b/>
                <w:lang w:eastAsia="fr-FR"/>
              </w:rPr>
              <w:t xml:space="preserve">Pondération </w:t>
            </w:r>
          </w:p>
        </w:tc>
      </w:tr>
      <w:tr>
        <w:trPr>
          <w:trHeight w:val="567"/>
        </w:trPr>
        <w:tc>
          <w:tcPr>
            <w:tcW w:w="7650" w:type="dxa"/>
            <w:tcBorders>
              <w:left w:val="single" w:sz="4" w:space="0" w:color="auto"/>
              <w:right w:val="single" w:sz="4" w:space="0" w:color="auto"/>
            </w:tcBorders>
            <w:shd w:val="clear" w:color="auto" w:fill="001D77"/>
            <w:vAlign w:val="center"/>
          </w:tcPr>
          <w:p>
            <w:pPr>
              <w:tabs>
                <w:tab w:val="left" w:pos="1985"/>
              </w:tabs>
              <w:spacing w:after="0" w:line="240" w:lineRule="auto"/>
              <w:rPr>
                <w:rFonts w:ascii="Calibri" w:eastAsia="Times New Roman" w:hAnsi="Calibri" w:cs="Calibri"/>
                <w:b/>
                <w:lang w:eastAsia="fr-FR"/>
              </w:rPr>
            </w:pPr>
            <w:r>
              <w:rPr>
                <w:rFonts w:ascii="Calibri" w:eastAsia="Times New Roman" w:hAnsi="Calibri" w:cs="Calibri"/>
                <w:b/>
                <w:lang w:val="fr-FR" w:eastAsia="fr-FR"/>
              </w:rPr>
              <w:t xml:space="preserve">Motivation </w:t>
            </w:r>
          </w:p>
        </w:tc>
        <w:tc>
          <w:tcPr>
            <w:tcW w:w="1417" w:type="dxa"/>
            <w:tcBorders>
              <w:left w:val="single" w:sz="4" w:space="0" w:color="auto"/>
              <w:right w:val="single" w:sz="4" w:space="0" w:color="auto"/>
            </w:tcBorders>
            <w:shd w:val="clear" w:color="auto" w:fill="D9D9D9" w:themeFill="background1" w:themeFillShade="D9"/>
            <w:vAlign w:val="center"/>
          </w:tcPr>
          <w:p>
            <w:pPr>
              <w:tabs>
                <w:tab w:val="left" w:pos="1985"/>
              </w:tabs>
              <w:spacing w:after="0" w:line="240" w:lineRule="auto"/>
              <w:jc w:val="center"/>
              <w:rPr>
                <w:rFonts w:ascii="Calibri" w:eastAsia="Times New Roman" w:hAnsi="Calibri" w:cs="Calibri"/>
                <w:b/>
                <w:lang w:eastAsia="fr-FR"/>
              </w:rPr>
            </w:pPr>
            <w:r>
              <w:rPr>
                <w:rFonts w:ascii="Calibri" w:eastAsia="Times New Roman" w:hAnsi="Calibri" w:cs="Calibri"/>
                <w:b/>
                <w:lang w:eastAsia="fr-FR"/>
              </w:rPr>
              <w:t>20</w:t>
            </w:r>
          </w:p>
        </w:tc>
      </w:tr>
      <w:tr>
        <w:trPr>
          <w:trHeight w:val="567"/>
        </w:trPr>
        <w:tc>
          <w:tcPr>
            <w:tcW w:w="7650" w:type="dxa"/>
            <w:tcBorders>
              <w:left w:val="single" w:sz="4" w:space="0" w:color="auto"/>
              <w:right w:val="single" w:sz="4" w:space="0" w:color="auto"/>
            </w:tcBorders>
            <w:shd w:val="clear" w:color="auto" w:fill="001D77"/>
            <w:vAlign w:val="center"/>
          </w:tcPr>
          <w:p>
            <w:pPr>
              <w:tabs>
                <w:tab w:val="left" w:pos="1985"/>
              </w:tabs>
              <w:spacing w:after="0" w:line="240" w:lineRule="auto"/>
              <w:rPr>
                <w:rFonts w:ascii="Calibri" w:eastAsia="Times New Roman" w:hAnsi="Calibri" w:cs="Calibri"/>
                <w:b/>
                <w:lang w:val="fr-FR" w:eastAsia="fr-FR"/>
              </w:rPr>
            </w:pPr>
            <w:r>
              <w:rPr>
                <w:rFonts w:ascii="Calibri" w:eastAsia="Times New Roman" w:hAnsi="Calibri" w:cs="Calibri"/>
                <w:b/>
                <w:lang w:val="fr-FR" w:eastAsia="fr-FR"/>
              </w:rPr>
              <w:t xml:space="preserve">Compétences techniques </w:t>
            </w:r>
          </w:p>
        </w:tc>
        <w:tc>
          <w:tcPr>
            <w:tcW w:w="1417" w:type="dxa"/>
            <w:tcBorders>
              <w:left w:val="single" w:sz="4" w:space="0" w:color="auto"/>
              <w:right w:val="single" w:sz="4" w:space="0" w:color="auto"/>
            </w:tcBorders>
            <w:shd w:val="clear" w:color="auto" w:fill="D9D9D9" w:themeFill="background1" w:themeFillShade="D9"/>
            <w:vAlign w:val="center"/>
          </w:tcPr>
          <w:p>
            <w:pPr>
              <w:tabs>
                <w:tab w:val="left" w:pos="1985"/>
              </w:tabs>
              <w:spacing w:after="0" w:line="240" w:lineRule="auto"/>
              <w:jc w:val="center"/>
              <w:rPr>
                <w:rFonts w:ascii="Calibri" w:eastAsia="Times New Roman" w:hAnsi="Calibri" w:cs="Calibri"/>
                <w:b/>
                <w:lang w:eastAsia="fr-FR"/>
              </w:rPr>
            </w:pPr>
            <w:r>
              <w:rPr>
                <w:rFonts w:ascii="Calibri" w:eastAsia="Times New Roman" w:hAnsi="Calibri" w:cs="Calibri"/>
                <w:b/>
                <w:lang w:eastAsia="fr-FR"/>
              </w:rPr>
              <w:t>70</w:t>
            </w:r>
          </w:p>
        </w:tc>
      </w:tr>
      <w:tr>
        <w:trPr>
          <w:trHeight w:val="338"/>
        </w:trPr>
        <w:tc>
          <w:tcPr>
            <w:tcW w:w="7650" w:type="dxa"/>
            <w:tcBorders>
              <w:left w:val="single" w:sz="4" w:space="0" w:color="auto"/>
              <w:right w:val="single" w:sz="4" w:space="0" w:color="auto"/>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ascii="Calibri" w:eastAsia="Times New Roman" w:hAnsi="Calibri" w:cs="Calibri"/>
                <w:color w:val="000000"/>
                <w:lang w:eastAsia="fr-FR"/>
              </w:rPr>
              <w:t>Avoir des compétences en gestion administrative, financière et matérielle de l’établissement.</w:t>
            </w:r>
          </w:p>
        </w:tc>
        <w:tc>
          <w:tcPr>
            <w:tcW w:w="1417" w:type="dxa"/>
            <w:tcBorders>
              <w:left w:val="single" w:sz="4" w:space="0" w:color="auto"/>
              <w:right w:val="single" w:sz="4" w:space="0" w:color="auto"/>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ascii="Calibri" w:eastAsia="Times New Roman" w:hAnsi="Calibri" w:cs="Calibri"/>
                <w:i/>
                <w:lang w:eastAsia="fr-FR"/>
              </w:rPr>
              <w:t>15</w:t>
            </w:r>
          </w:p>
        </w:tc>
      </w:tr>
      <w:tr>
        <w:trPr>
          <w:trHeight w:val="338"/>
        </w:trPr>
        <w:tc>
          <w:tcPr>
            <w:tcW w:w="7650" w:type="dxa"/>
            <w:tcBorders>
              <w:left w:val="single" w:sz="4" w:space="0" w:color="auto"/>
              <w:right w:val="single" w:sz="4" w:space="0" w:color="auto"/>
            </w:tcBorders>
            <w:shd w:val="clear" w:color="auto" w:fill="FFFFFF"/>
            <w:vAlign w:val="center"/>
          </w:tcPr>
          <w:p>
            <w:pPr>
              <w:tabs>
                <w:tab w:val="left" w:pos="1985"/>
              </w:tabs>
              <w:spacing w:after="0" w:line="240" w:lineRule="auto"/>
              <w:ind w:left="708"/>
              <w:jc w:val="both"/>
              <w:rPr>
                <w:rFonts w:ascii="Calibri" w:eastAsia="Times New Roman" w:hAnsi="Calibri" w:cs="Calibri"/>
                <w:lang w:val="fr-FR" w:eastAsia="fr-FR"/>
              </w:rPr>
            </w:pPr>
            <w:r>
              <w:rPr>
                <w:rFonts w:ascii="Calibri" w:eastAsia="Times New Roman" w:hAnsi="Calibri" w:cs="Times New Roman"/>
                <w:lang w:eastAsia="fr-FR"/>
              </w:rPr>
              <w:t>Disposer de compétences pédagogiques et montrer un intérêt pour la recherche en éducation adaptée au niveau d’enseignement concerné.</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ascii="Calibri" w:eastAsia="Times New Roman" w:hAnsi="Calibri" w:cs="Calibri"/>
                <w:i/>
                <w:lang w:eastAsia="fr-FR"/>
              </w:rPr>
              <w:t>15</w:t>
            </w:r>
          </w:p>
        </w:tc>
      </w:tr>
      <w:tr>
        <w:trPr>
          <w:trHeight w:val="338"/>
        </w:trPr>
        <w:tc>
          <w:tcPr>
            <w:tcW w:w="7650" w:type="dxa"/>
            <w:tcBorders>
              <w:left w:val="single" w:sz="4" w:space="0" w:color="auto"/>
              <w:right w:val="single" w:sz="4" w:space="0" w:color="auto"/>
            </w:tcBorders>
            <w:shd w:val="clear" w:color="auto" w:fill="FFFFFF"/>
            <w:vAlign w:val="center"/>
          </w:tcPr>
          <w:p>
            <w:pPr>
              <w:tabs>
                <w:tab w:val="left" w:pos="1985"/>
              </w:tabs>
              <w:spacing w:after="0" w:line="240" w:lineRule="auto"/>
              <w:ind w:left="708"/>
              <w:rPr>
                <w:rFonts w:ascii="Calibri" w:eastAsia="Times New Roman" w:hAnsi="Calibri" w:cs="Calibri"/>
                <w:lang w:eastAsia="fr-FR"/>
              </w:rPr>
            </w:pPr>
            <w:r>
              <w:rPr>
                <w:rFonts w:ascii="Calibri" w:eastAsia="Times New Roman" w:hAnsi="Calibri" w:cs="Times New Roman"/>
                <w:lang w:eastAsia="fr-FR"/>
              </w:rPr>
              <w:t>Avoir la capacité de lire et comprendre un texte juridique.</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ascii="Calibri" w:eastAsia="Times New Roman" w:hAnsi="Calibri" w:cs="Calibri"/>
                <w:i/>
                <w:lang w:eastAsia="fr-FR"/>
              </w:rPr>
              <w:t>10</w:t>
            </w:r>
          </w:p>
        </w:tc>
      </w:tr>
      <w:tr>
        <w:trPr>
          <w:trHeight w:val="338"/>
        </w:trPr>
        <w:tc>
          <w:tcPr>
            <w:tcW w:w="7650" w:type="dxa"/>
            <w:tcBorders>
              <w:left w:val="single" w:sz="4" w:space="0" w:color="auto"/>
              <w:right w:val="single" w:sz="4" w:space="0" w:color="auto"/>
            </w:tcBorders>
            <w:shd w:val="clear" w:color="auto" w:fill="FFFFFF"/>
            <w:vAlign w:val="center"/>
          </w:tcPr>
          <w:p>
            <w:pPr>
              <w:tabs>
                <w:tab w:val="left" w:pos="1985"/>
              </w:tabs>
              <w:spacing w:after="0" w:line="240" w:lineRule="auto"/>
              <w:ind w:left="708"/>
              <w:rPr>
                <w:rFonts w:ascii="Calibri" w:eastAsia="Times New Roman" w:hAnsi="Calibri" w:cs="Calibri"/>
                <w:lang w:eastAsia="fr-BE"/>
              </w:rPr>
            </w:pPr>
            <w:r>
              <w:rPr>
                <w:rFonts w:ascii="Calibri" w:eastAsia="Times New Roman" w:hAnsi="Calibri" w:cs="Calibri"/>
                <w:color w:val="000000"/>
                <w:lang w:eastAsia="fr-FR"/>
              </w:rPr>
              <w:t>Etre capable de gérer des conflits.</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ascii="Calibri" w:eastAsia="Times New Roman" w:hAnsi="Calibri" w:cs="Calibri"/>
                <w:i/>
                <w:lang w:eastAsia="fr-FR"/>
              </w:rPr>
              <w:t>10</w:t>
            </w:r>
          </w:p>
        </w:tc>
      </w:tr>
      <w:tr>
        <w:trPr>
          <w:trHeight w:val="338"/>
        </w:trPr>
        <w:tc>
          <w:tcPr>
            <w:tcW w:w="7650" w:type="dxa"/>
            <w:tcBorders>
              <w:left w:val="single" w:sz="4" w:space="0" w:color="auto"/>
              <w:right w:val="single" w:sz="4" w:space="0" w:color="auto"/>
            </w:tcBorders>
            <w:shd w:val="clear" w:color="auto" w:fill="FFFFFF"/>
            <w:vAlign w:val="center"/>
          </w:tcPr>
          <w:p>
            <w:pPr>
              <w:tabs>
                <w:tab w:val="left" w:pos="1985"/>
              </w:tabs>
              <w:spacing w:after="0" w:line="240" w:lineRule="auto"/>
              <w:ind w:left="708"/>
              <w:rPr>
                <w:rFonts w:ascii="Calibri" w:eastAsia="Times New Roman" w:hAnsi="Calibri" w:cs="Calibri"/>
                <w:color w:val="000000"/>
                <w:lang w:eastAsia="fr-FR"/>
              </w:rPr>
            </w:pPr>
            <w:r>
              <w:rPr>
                <w:rFonts w:ascii="Calibri" w:eastAsia="Times New Roman" w:hAnsi="Calibri" w:cs="Calibri"/>
                <w:lang w:eastAsia="fr-FR"/>
              </w:rPr>
              <w:t>Maîtriser les techniques de la communication orale.</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ascii="Calibri" w:eastAsia="Times New Roman" w:hAnsi="Calibri" w:cs="Calibri"/>
                <w:i/>
                <w:lang w:eastAsia="fr-FR"/>
              </w:rPr>
              <w:t>10</w:t>
            </w:r>
          </w:p>
        </w:tc>
      </w:tr>
      <w:tr>
        <w:trPr>
          <w:trHeight w:val="338"/>
        </w:trPr>
        <w:tc>
          <w:tcPr>
            <w:tcW w:w="7650" w:type="dxa"/>
            <w:tcBorders>
              <w:left w:val="single" w:sz="4" w:space="0" w:color="auto"/>
              <w:right w:val="single" w:sz="4" w:space="0" w:color="auto"/>
            </w:tcBorders>
            <w:shd w:val="clear" w:color="auto" w:fill="FFFFFF"/>
            <w:vAlign w:val="center"/>
          </w:tcPr>
          <w:p>
            <w:pPr>
              <w:tabs>
                <w:tab w:val="left" w:pos="1985"/>
              </w:tabs>
              <w:spacing w:after="0" w:line="240" w:lineRule="auto"/>
              <w:ind w:left="708"/>
              <w:rPr>
                <w:rFonts w:ascii="Calibri" w:eastAsia="Times New Roman" w:hAnsi="Calibri" w:cs="Calibri"/>
                <w:color w:val="000000"/>
                <w:lang w:eastAsia="fr-FR"/>
              </w:rPr>
            </w:pPr>
            <w:r>
              <w:rPr>
                <w:rFonts w:ascii="Calibri" w:eastAsia="Times New Roman" w:hAnsi="Calibri" w:cs="Calibri"/>
                <w:lang w:eastAsia="fr-FR"/>
              </w:rPr>
              <w:t xml:space="preserve">Maîtriser les techniques de la communication écrite. </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ascii="Calibri" w:eastAsia="Times New Roman" w:hAnsi="Calibri" w:cs="Calibri"/>
                <w:i/>
                <w:lang w:eastAsia="fr-FR"/>
              </w:rPr>
              <w:t>10</w:t>
            </w:r>
          </w:p>
        </w:tc>
      </w:tr>
      <w:tr>
        <w:trPr>
          <w:trHeight w:val="567"/>
        </w:trPr>
        <w:tc>
          <w:tcPr>
            <w:tcW w:w="7650" w:type="dxa"/>
            <w:tcBorders>
              <w:left w:val="single" w:sz="4" w:space="0" w:color="auto"/>
              <w:right w:val="single" w:sz="4" w:space="0" w:color="auto"/>
            </w:tcBorders>
            <w:shd w:val="clear" w:color="auto" w:fill="001D77"/>
            <w:vAlign w:val="center"/>
          </w:tcPr>
          <w:p>
            <w:pPr>
              <w:tabs>
                <w:tab w:val="left" w:pos="1985"/>
              </w:tabs>
              <w:spacing w:after="0" w:line="240" w:lineRule="auto"/>
              <w:rPr>
                <w:rFonts w:ascii="Calibri" w:eastAsia="Times New Roman" w:hAnsi="Calibri" w:cs="Calibri"/>
                <w:b/>
                <w:lang w:val="fr-FR" w:eastAsia="fr-FR"/>
              </w:rPr>
            </w:pPr>
            <w:r>
              <w:rPr>
                <w:rFonts w:ascii="Calibri" w:eastAsia="Times New Roman" w:hAnsi="Calibri" w:cs="Calibri"/>
                <w:b/>
                <w:lang w:val="fr-FR" w:eastAsia="fr-FR"/>
              </w:rPr>
              <w:t xml:space="preserve">Compétences comportementales </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pPr>
              <w:tabs>
                <w:tab w:val="left" w:pos="1985"/>
              </w:tabs>
              <w:spacing w:after="0" w:line="240" w:lineRule="auto"/>
              <w:jc w:val="center"/>
              <w:rPr>
                <w:rFonts w:ascii="Calibri" w:eastAsia="Times New Roman" w:hAnsi="Calibri" w:cs="Calibri"/>
                <w:b/>
                <w:lang w:eastAsia="fr-FR"/>
              </w:rPr>
            </w:pPr>
            <w:r>
              <w:rPr>
                <w:rFonts w:ascii="Calibri" w:eastAsia="Times New Roman" w:hAnsi="Calibri" w:cs="Calibri"/>
                <w:b/>
                <w:lang w:eastAsia="fr-FR"/>
              </w:rPr>
              <w:t>50</w:t>
            </w:r>
          </w:p>
        </w:tc>
      </w:tr>
      <w:tr>
        <w:trPr>
          <w:trHeight w:val="338"/>
        </w:trPr>
        <w:tc>
          <w:tcPr>
            <w:tcW w:w="7650" w:type="dxa"/>
            <w:tcBorders>
              <w:left w:val="single" w:sz="4" w:space="0" w:color="auto"/>
              <w:right w:val="single" w:sz="4" w:space="0" w:color="auto"/>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ascii="Calibri" w:eastAsia="Times New Roman" w:hAnsi="Calibri" w:cs="Calibri"/>
                <w:lang w:val="fr-FR" w:eastAsia="fr-FR"/>
              </w:rPr>
              <w:t>Innover.</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ascii="Calibri" w:eastAsia="Times New Roman" w:hAnsi="Calibri" w:cs="Calibri"/>
                <w:i/>
                <w:lang w:eastAsia="fr-FR"/>
              </w:rPr>
              <w:t>15</w:t>
            </w:r>
          </w:p>
        </w:tc>
      </w:tr>
      <w:tr>
        <w:trPr>
          <w:trHeight w:val="397"/>
        </w:trPr>
        <w:tc>
          <w:tcPr>
            <w:tcW w:w="7650" w:type="dxa"/>
            <w:tcBorders>
              <w:left w:val="single" w:sz="4" w:space="0" w:color="auto"/>
              <w:right w:val="single" w:sz="4" w:space="0" w:color="auto"/>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ascii="Calibri" w:eastAsia="Times New Roman" w:hAnsi="Calibri" w:cs="Calibri"/>
                <w:lang w:val="fr-FR" w:eastAsia="fr-FR"/>
              </w:rPr>
              <w:t>Souder des équipes.</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ascii="Calibri" w:eastAsia="Times New Roman" w:hAnsi="Calibri" w:cs="Calibri"/>
                <w:i/>
                <w:lang w:eastAsia="fr-FR"/>
              </w:rPr>
              <w:t>15</w:t>
            </w:r>
          </w:p>
        </w:tc>
      </w:tr>
      <w:tr>
        <w:trPr>
          <w:trHeight w:val="338"/>
        </w:trPr>
        <w:tc>
          <w:tcPr>
            <w:tcW w:w="7650" w:type="dxa"/>
            <w:tcBorders>
              <w:left w:val="single" w:sz="4" w:space="0" w:color="auto"/>
              <w:right w:val="single" w:sz="4" w:space="0" w:color="auto"/>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ascii="Calibri" w:eastAsia="Times New Roman" w:hAnsi="Calibri" w:cs="Calibri"/>
                <w:lang w:val="fr-FR" w:eastAsia="fr-FR"/>
              </w:rPr>
              <w:t>Conseiller.</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val="fr-FR" w:eastAsia="fr-FR"/>
              </w:rPr>
            </w:pPr>
            <w:r>
              <w:rPr>
                <w:rFonts w:ascii="Calibri" w:eastAsia="Times New Roman" w:hAnsi="Calibri" w:cs="Calibri"/>
                <w:i/>
                <w:lang w:val="fr-FR" w:eastAsia="fr-FR"/>
              </w:rPr>
              <w:t>10</w:t>
            </w:r>
          </w:p>
        </w:tc>
      </w:tr>
      <w:tr>
        <w:trPr>
          <w:trHeight w:val="338"/>
        </w:trPr>
        <w:tc>
          <w:tcPr>
            <w:tcW w:w="7650" w:type="dxa"/>
            <w:tcBorders>
              <w:left w:val="single" w:sz="4" w:space="0" w:color="auto"/>
              <w:right w:val="single" w:sz="4" w:space="0" w:color="auto"/>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ascii="Calibri" w:eastAsia="Times New Roman" w:hAnsi="Calibri" w:cs="Calibri"/>
                <w:lang w:val="fr-FR" w:eastAsia="fr-FR"/>
              </w:rPr>
              <w:t>Faire preuve de fiabilité.</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val="fr-FR" w:eastAsia="fr-FR"/>
              </w:rPr>
            </w:pPr>
            <w:r>
              <w:rPr>
                <w:rFonts w:ascii="Calibri" w:eastAsia="Times New Roman" w:hAnsi="Calibri" w:cs="Calibri"/>
                <w:i/>
                <w:lang w:val="fr-FR" w:eastAsia="fr-FR"/>
              </w:rPr>
              <w:t>10</w:t>
            </w:r>
          </w:p>
        </w:tc>
      </w:tr>
      <w:tr>
        <w:trPr>
          <w:trHeight w:val="510"/>
        </w:trPr>
        <w:tc>
          <w:tcPr>
            <w:tcW w:w="7650" w:type="dxa"/>
            <w:tcBorders>
              <w:left w:val="single" w:sz="4" w:space="0" w:color="auto"/>
              <w:right w:val="single" w:sz="4" w:space="0" w:color="auto"/>
            </w:tcBorders>
            <w:shd w:val="clear" w:color="auto" w:fill="001D77"/>
            <w:vAlign w:val="center"/>
          </w:tcPr>
          <w:p>
            <w:pPr>
              <w:tabs>
                <w:tab w:val="left" w:pos="1985"/>
              </w:tabs>
              <w:spacing w:after="0" w:line="240" w:lineRule="auto"/>
              <w:jc w:val="right"/>
              <w:rPr>
                <w:rFonts w:ascii="Calibri" w:eastAsia="Times New Roman" w:hAnsi="Calibri" w:cs="Calibri"/>
                <w:b/>
                <w:lang w:val="fr-FR" w:eastAsia="fr-FR"/>
              </w:rPr>
            </w:pPr>
            <w:r>
              <w:rPr>
                <w:rFonts w:ascii="Calibri" w:eastAsia="Times New Roman" w:hAnsi="Calibri" w:cs="Calibri"/>
                <w:b/>
                <w:lang w:val="fr-FR" w:eastAsia="fr-FR"/>
              </w:rPr>
              <w:t xml:space="preserve">Total </w:t>
            </w:r>
          </w:p>
        </w:tc>
        <w:tc>
          <w:tcPr>
            <w:tcW w:w="1417" w:type="dxa"/>
            <w:tcBorders>
              <w:top w:val="single" w:sz="4" w:space="0" w:color="auto"/>
              <w:left w:val="single" w:sz="4" w:space="0" w:color="auto"/>
              <w:bottom w:val="single" w:sz="4" w:space="0" w:color="auto"/>
              <w:right w:val="single" w:sz="4" w:space="0" w:color="auto"/>
            </w:tcBorders>
            <w:shd w:val="clear" w:color="auto" w:fill="001D77"/>
            <w:vAlign w:val="center"/>
          </w:tcPr>
          <w:p>
            <w:pPr>
              <w:tabs>
                <w:tab w:val="left" w:pos="1985"/>
              </w:tabs>
              <w:spacing w:after="0" w:line="240" w:lineRule="auto"/>
              <w:jc w:val="center"/>
              <w:rPr>
                <w:rFonts w:ascii="Calibri" w:eastAsia="Times New Roman" w:hAnsi="Calibri" w:cs="Calibri"/>
                <w:b/>
                <w:lang w:val="fr-FR" w:eastAsia="fr-FR"/>
              </w:rPr>
            </w:pPr>
            <w:r>
              <w:rPr>
                <w:rFonts w:ascii="Calibri" w:eastAsia="Times New Roman" w:hAnsi="Calibri" w:cs="Calibri"/>
                <w:b/>
                <w:lang w:val="fr-FR" w:eastAsia="fr-FR"/>
              </w:rPr>
              <w:t>140 points</w:t>
            </w:r>
          </w:p>
        </w:tc>
      </w:tr>
    </w:tbl>
    <w:p>
      <w:pPr>
        <w:jc w:val="both"/>
        <w:rPr>
          <w:rFonts w:cs="Arial"/>
          <w:b/>
          <w:szCs w:val="20"/>
        </w:rPr>
      </w:pPr>
    </w:p>
    <w:p>
      <w:pPr>
        <w:tabs>
          <w:tab w:val="left" w:pos="3705"/>
        </w:tabs>
        <w:jc w:val="both"/>
      </w:pPr>
      <w:r>
        <w:t>Le classement des lauréats sera établi sur base des résultats obtenus lors des épreuves. À égalité de points, la priorité sera donnée à la personne ayant obtenu le plus grand nombre de points à la partie « </w:t>
      </w:r>
      <w:r>
        <w:rPr>
          <w:rFonts w:ascii="Calibri" w:eastAsia="Times New Roman" w:hAnsi="Calibri" w:cs="Calibri"/>
          <w:lang w:val="fr-FR" w:eastAsia="fr-FR"/>
        </w:rPr>
        <w:t>Souder des équipes</w:t>
      </w:r>
      <w:r>
        <w:t xml:space="preserve"> </w:t>
      </w:r>
      <w:r>
        <w:rPr>
          <w:rFonts w:eastAsia="Times New Roman"/>
          <w:lang w:eastAsia="fr-FR"/>
        </w:rPr>
        <w:t>».</w:t>
      </w:r>
      <w:r>
        <w:t>  Si pour cette partie, des personnes ont des points égaux, leur classement sera établi de manière aléatoire.</w:t>
      </w:r>
    </w:p>
    <w:sectPr>
      <w:footerReference w:type="default" r:id="rId18"/>
      <w:headerReference w:type="first" r:id="rId19"/>
      <w:pgSz w:w="11906" w:h="16838"/>
      <w:pgMar w:top="1417" w:right="1417" w:bottom="1417" w:left="1417" w:header="708"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856577908"/>
      <w:docPartObj>
        <w:docPartGallery w:val="Page Numbers (Bottom of Page)"/>
        <w:docPartUnique/>
      </w:docPartObj>
    </w:sdtPr>
    <w:sdtContent>
      <w:sdt>
        <w:sdtPr>
          <w:rPr>
            <w:sz w:val="18"/>
            <w:szCs w:val="18"/>
          </w:rPr>
          <w:id w:val="-1769616900"/>
          <w:docPartObj>
            <w:docPartGallery w:val="Page Numbers (Top of Page)"/>
            <w:docPartUnique/>
          </w:docPartObj>
        </w:sdtPr>
        <w:sdtContent>
          <w:p>
            <w:pPr>
              <w:pStyle w:val="Pieddepage"/>
              <w:jc w:val="right"/>
              <w:rPr>
                <w:sz w:val="18"/>
                <w:szCs w:val="18"/>
              </w:rPr>
            </w:pPr>
            <w:r>
              <w:rPr>
                <w:noProof/>
                <w:lang w:eastAsia="fr-BE"/>
              </w:rPr>
              <w:drawing>
                <wp:anchor distT="0" distB="0" distL="114300" distR="114300" simplePos="0" relativeHeight="251671552" behindDoc="0" locked="0" layoutInCell="1" allowOverlap="1">
                  <wp:simplePos x="0" y="0"/>
                  <wp:positionH relativeFrom="margin">
                    <wp:align>center</wp:align>
                  </wp:positionH>
                  <wp:positionV relativeFrom="paragraph">
                    <wp:posOffset>-622789</wp:posOffset>
                  </wp:positionV>
                  <wp:extent cx="593766" cy="672465"/>
                  <wp:effectExtent l="0" t="0" r="0" b="0"/>
                  <wp:wrapNone/>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rotWithShape="1">
                          <a:blip r:embed="rId1" cstate="print">
                            <a:extLst>
                              <a:ext uri="{28A0092B-C50C-407E-A947-70E740481C1C}">
                                <a14:useLocalDpi xmlns:a14="http://schemas.microsoft.com/office/drawing/2010/main" val="0"/>
                              </a:ext>
                            </a:extLst>
                          </a:blip>
                          <a:srcRect r="78259"/>
                          <a:stretch/>
                        </pic:blipFill>
                        <pic:spPr bwMode="auto">
                          <a:xfrm>
                            <a:off x="0" y="0"/>
                            <a:ext cx="593766" cy="6724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sz w:val="18"/>
                <w:szCs w:val="18"/>
                <w:lang w:val="fr-FR"/>
              </w:rPr>
              <w:t xml:space="preserve">Page </w:t>
            </w:r>
            <w:r>
              <w:rPr>
                <w:bCs/>
                <w:sz w:val="18"/>
                <w:szCs w:val="18"/>
              </w:rPr>
              <w:fldChar w:fldCharType="begin"/>
            </w:r>
            <w:r>
              <w:rPr>
                <w:bCs/>
                <w:sz w:val="18"/>
                <w:szCs w:val="18"/>
              </w:rPr>
              <w:instrText>PAGE</w:instrText>
            </w:r>
            <w:r>
              <w:rPr>
                <w:bCs/>
                <w:sz w:val="18"/>
                <w:szCs w:val="18"/>
              </w:rPr>
              <w:fldChar w:fldCharType="separate"/>
            </w:r>
            <w:r>
              <w:rPr>
                <w:bCs/>
                <w:noProof/>
                <w:sz w:val="18"/>
                <w:szCs w:val="18"/>
              </w:rPr>
              <w:t>14</w:t>
            </w:r>
            <w:r>
              <w:rPr>
                <w:bCs/>
                <w:sz w:val="18"/>
                <w:szCs w:val="18"/>
              </w:rPr>
              <w:fldChar w:fldCharType="end"/>
            </w:r>
            <w:r>
              <w:rPr>
                <w:sz w:val="18"/>
                <w:szCs w:val="18"/>
                <w:lang w:val="fr-FR"/>
              </w:rPr>
              <w:t xml:space="preserve"> sur </w:t>
            </w:r>
            <w:r>
              <w:rPr>
                <w:bCs/>
                <w:sz w:val="18"/>
                <w:szCs w:val="18"/>
              </w:rPr>
              <w:fldChar w:fldCharType="begin"/>
            </w:r>
            <w:r>
              <w:rPr>
                <w:bCs/>
                <w:sz w:val="18"/>
                <w:szCs w:val="18"/>
              </w:rPr>
              <w:instrText>NUMPAGES</w:instrText>
            </w:r>
            <w:r>
              <w:rPr>
                <w:bCs/>
                <w:sz w:val="18"/>
                <w:szCs w:val="18"/>
              </w:rPr>
              <w:fldChar w:fldCharType="separate"/>
            </w:r>
            <w:r>
              <w:rPr>
                <w:bCs/>
                <w:noProof/>
                <w:sz w:val="18"/>
                <w:szCs w:val="18"/>
              </w:rPr>
              <w:t>16</w:t>
            </w:r>
            <w:r>
              <w:rPr>
                <w:bCs/>
                <w:sz w:val="18"/>
                <w:szCs w:val="18"/>
              </w:rPr>
              <w:fldChar w:fldCharType="end"/>
            </w:r>
          </w:p>
        </w:sdtContent>
      </w:sdt>
    </w:sdtContent>
  </w:sdt>
  <w:p>
    <w:pPr>
      <w:pStyle w:val="Pieddepage"/>
      <w:rPr>
        <w:rFonts w:ascii="Calibri" w:hAnsi="Calibri" w:cs="Calibri"/>
        <w:color w:val="7F7F7F"/>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259183623"/>
      <w:docPartObj>
        <w:docPartGallery w:val="Page Numbers (Bottom of Page)"/>
        <w:docPartUnique/>
      </w:docPartObj>
    </w:sdtPr>
    <w:sdtContent>
      <w:sdt>
        <w:sdtPr>
          <w:rPr>
            <w:sz w:val="18"/>
            <w:szCs w:val="18"/>
          </w:rPr>
          <w:id w:val="1847432567"/>
          <w:docPartObj>
            <w:docPartGallery w:val="Page Numbers (Top of Page)"/>
            <w:docPartUnique/>
          </w:docPartObj>
        </w:sdtPr>
        <w:sdtContent>
          <w:p>
            <w:pPr>
              <w:pStyle w:val="Pieddepage"/>
              <w:jc w:val="right"/>
              <w:rPr>
                <w:sz w:val="18"/>
                <w:szCs w:val="18"/>
              </w:rPr>
            </w:pPr>
            <w:r>
              <w:rPr>
                <w:noProof/>
                <w:lang w:eastAsia="fr-BE"/>
              </w:rPr>
              <w:drawing>
                <wp:anchor distT="0" distB="0" distL="114300" distR="114300" simplePos="0" relativeHeight="251673600" behindDoc="0" locked="0" layoutInCell="1" allowOverlap="1">
                  <wp:simplePos x="0" y="0"/>
                  <wp:positionH relativeFrom="margin">
                    <wp:align>center</wp:align>
                  </wp:positionH>
                  <wp:positionV relativeFrom="paragraph">
                    <wp:posOffset>-417586</wp:posOffset>
                  </wp:positionV>
                  <wp:extent cx="593766" cy="67246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rotWithShape="1">
                          <a:blip r:embed="rId1" cstate="print">
                            <a:extLst>
                              <a:ext uri="{28A0092B-C50C-407E-A947-70E740481C1C}">
                                <a14:useLocalDpi xmlns:a14="http://schemas.microsoft.com/office/drawing/2010/main" val="0"/>
                              </a:ext>
                            </a:extLst>
                          </a:blip>
                          <a:srcRect r="78259"/>
                          <a:stretch/>
                        </pic:blipFill>
                        <pic:spPr bwMode="auto">
                          <a:xfrm>
                            <a:off x="0" y="0"/>
                            <a:ext cx="593766" cy="6724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sz w:val="18"/>
                <w:szCs w:val="18"/>
                <w:lang w:val="fr-FR"/>
              </w:rPr>
              <w:t xml:space="preserve">Page </w:t>
            </w:r>
            <w:r>
              <w:rPr>
                <w:bCs/>
                <w:sz w:val="18"/>
                <w:szCs w:val="18"/>
              </w:rPr>
              <w:fldChar w:fldCharType="begin"/>
            </w:r>
            <w:r>
              <w:rPr>
                <w:bCs/>
                <w:sz w:val="18"/>
                <w:szCs w:val="18"/>
              </w:rPr>
              <w:instrText>PAGE</w:instrText>
            </w:r>
            <w:r>
              <w:rPr>
                <w:bCs/>
                <w:sz w:val="18"/>
                <w:szCs w:val="18"/>
              </w:rPr>
              <w:fldChar w:fldCharType="separate"/>
            </w:r>
            <w:r>
              <w:rPr>
                <w:bCs/>
                <w:noProof/>
                <w:sz w:val="18"/>
                <w:szCs w:val="18"/>
              </w:rPr>
              <w:t>1</w:t>
            </w:r>
            <w:r>
              <w:rPr>
                <w:bCs/>
                <w:sz w:val="18"/>
                <w:szCs w:val="18"/>
              </w:rPr>
              <w:fldChar w:fldCharType="end"/>
            </w:r>
            <w:r>
              <w:rPr>
                <w:sz w:val="18"/>
                <w:szCs w:val="18"/>
                <w:lang w:val="fr-FR"/>
              </w:rPr>
              <w:t xml:space="preserve"> sur </w:t>
            </w:r>
            <w:r>
              <w:rPr>
                <w:bCs/>
                <w:sz w:val="18"/>
                <w:szCs w:val="18"/>
              </w:rPr>
              <w:fldChar w:fldCharType="begin"/>
            </w:r>
            <w:r>
              <w:rPr>
                <w:bCs/>
                <w:sz w:val="18"/>
                <w:szCs w:val="18"/>
              </w:rPr>
              <w:instrText>NUMPAGES</w:instrText>
            </w:r>
            <w:r>
              <w:rPr>
                <w:bCs/>
                <w:sz w:val="18"/>
                <w:szCs w:val="18"/>
              </w:rPr>
              <w:fldChar w:fldCharType="separate"/>
            </w:r>
            <w:r>
              <w:rPr>
                <w:bCs/>
                <w:noProof/>
                <w:sz w:val="18"/>
                <w:szCs w:val="18"/>
              </w:rPr>
              <w:t>16</w:t>
            </w:r>
            <w:r>
              <w:rPr>
                <w:bCs/>
                <w:sz w:val="18"/>
                <w:szCs w:val="18"/>
              </w:rPr>
              <w:fldChar w:fldCharType="end"/>
            </w:r>
          </w:p>
        </w:sdtContent>
      </w:sdt>
    </w:sdtContent>
  </w:sdt>
  <w:p>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rPr>
        <w:sz w:val="18"/>
      </w:rPr>
    </w:pPr>
    <w:r>
      <w:rPr>
        <w:noProof/>
        <w:lang w:eastAsia="fr-BE"/>
      </w:rPr>
      <w:drawing>
        <wp:anchor distT="0" distB="0" distL="114300" distR="114300" simplePos="0" relativeHeight="251661312" behindDoc="0" locked="0" layoutInCell="1" allowOverlap="1">
          <wp:simplePos x="0" y="0"/>
          <wp:positionH relativeFrom="margin">
            <wp:align>center</wp:align>
          </wp:positionH>
          <wp:positionV relativeFrom="paragraph">
            <wp:posOffset>-332509</wp:posOffset>
          </wp:positionV>
          <wp:extent cx="593766" cy="672465"/>
          <wp:effectExtent l="0" t="0" r="0" b="0"/>
          <wp:wrapNone/>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rotWithShape="1">
                  <a:blip r:embed="rId1" cstate="print">
                    <a:extLst>
                      <a:ext uri="{28A0092B-C50C-407E-A947-70E740481C1C}">
                        <a14:useLocalDpi xmlns:a14="http://schemas.microsoft.com/office/drawing/2010/main" val="0"/>
                      </a:ext>
                    </a:extLst>
                  </a:blip>
                  <a:srcRect r="78259"/>
                  <a:stretch/>
                </pic:blipFill>
                <pic:spPr bwMode="auto">
                  <a:xfrm>
                    <a:off x="0" y="0"/>
                    <a:ext cx="593766" cy="6724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sz w:val="18"/>
      </w:rPr>
      <w:ptab w:relativeTo="margin" w:alignment="center" w:leader="none"/>
    </w:r>
    <w:r>
      <w:rPr>
        <w:sz w:val="18"/>
      </w:rPr>
      <w:ptab w:relativeTo="margin" w:alignment="right" w:leader="none"/>
    </w:r>
    <w:r>
      <w:rPr>
        <w:sz w:val="18"/>
        <w:lang w:val="fr-FR"/>
      </w:rPr>
      <w:t xml:space="preserve">Page </w:t>
    </w:r>
    <w:r>
      <w:rPr>
        <w:b/>
        <w:sz w:val="18"/>
      </w:rPr>
      <w:fldChar w:fldCharType="begin"/>
    </w:r>
    <w:r>
      <w:rPr>
        <w:b/>
        <w:sz w:val="18"/>
      </w:rPr>
      <w:instrText>PAGE  \* Arabic  \* MERGEFORMAT</w:instrText>
    </w:r>
    <w:r>
      <w:rPr>
        <w:b/>
        <w:sz w:val="18"/>
      </w:rPr>
      <w:fldChar w:fldCharType="separate"/>
    </w:r>
    <w:r>
      <w:rPr>
        <w:b/>
        <w:noProof/>
        <w:sz w:val="18"/>
        <w:lang w:val="fr-FR"/>
      </w:rPr>
      <w:t>16</w:t>
    </w:r>
    <w:r>
      <w:rPr>
        <w:b/>
        <w:sz w:val="18"/>
      </w:rPr>
      <w:fldChar w:fldCharType="end"/>
    </w:r>
    <w:r>
      <w:rPr>
        <w:sz w:val="18"/>
        <w:lang w:val="fr-FR"/>
      </w:rPr>
      <w:t xml:space="preserve"> sur </w:t>
    </w:r>
    <w:r>
      <w:rPr>
        <w:b/>
        <w:sz w:val="18"/>
      </w:rPr>
      <w:fldChar w:fldCharType="begin"/>
    </w:r>
    <w:r>
      <w:rPr>
        <w:b/>
        <w:sz w:val="18"/>
      </w:rPr>
      <w:instrText>NUMPAGES  \* Arabic  \* MERGEFORMAT</w:instrText>
    </w:r>
    <w:r>
      <w:rPr>
        <w:b/>
        <w:sz w:val="18"/>
      </w:rPr>
      <w:fldChar w:fldCharType="separate"/>
    </w:r>
    <w:r>
      <w:rPr>
        <w:b/>
        <w:noProof/>
        <w:sz w:val="18"/>
        <w:lang w:val="fr-FR"/>
      </w:rPr>
      <w:t>16</w:t>
    </w:r>
    <w:r>
      <w:rPr>
        <w:b/>
        <w:sz w:val="18"/>
      </w:rPr>
      <w:fldChar w:fldCharType="end"/>
    </w:r>
  </w:p>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 w:id="1">
    <w:p>
      <w:pPr>
        <w:pStyle w:val="Notedebasdepage"/>
        <w:jc w:val="both"/>
      </w:pPr>
      <w:r>
        <w:rPr>
          <w:rStyle w:val="Appelnotedebasdep"/>
        </w:rPr>
        <w:footnoteRef/>
      </w:r>
      <w:r>
        <w:t xml:space="preserve"> Constituant un titre de capacité tel que défini à l’article 100 du décret du 2 février 2007 fixant le statut des directeurs et directrices dans l’enseignement et directrices dans l’enseignement.</w:t>
      </w:r>
    </w:p>
  </w:footnote>
  <w:footnote w:id="2">
    <w:p>
      <w:pPr>
        <w:pStyle w:val="Notedebasdepage"/>
        <w:jc w:val="both"/>
      </w:pPr>
      <w:r>
        <w:rPr>
          <w:rStyle w:val="Appelnotedebasdep"/>
        </w:rPr>
        <w:footnoteRef/>
      </w:r>
      <w:r>
        <w:t xml:space="preserve"> Commission visée à l’article 29 du décret du 2 février 2007 précité</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lang w:val="nl-NL"/>
      </w:rPr>
    </w:pPr>
    <w:r>
      <w:rPr>
        <w:rFonts w:ascii="Times New Roman" w:eastAsia="Times New Roman" w:hAnsi="Times New Roman" w:cs="Times New Roman"/>
        <w:noProof/>
        <w:sz w:val="24"/>
        <w:szCs w:val="24"/>
        <w:lang w:eastAsia="fr-BE"/>
      </w:rPr>
      <w:drawing>
        <wp:anchor distT="0" distB="0" distL="114300" distR="114300" simplePos="0" relativeHeight="251667456" behindDoc="0" locked="0" layoutInCell="1" allowOverlap="1">
          <wp:simplePos x="0" y="0"/>
          <wp:positionH relativeFrom="margin">
            <wp:align>center</wp:align>
          </wp:positionH>
          <wp:positionV relativeFrom="paragraph">
            <wp:posOffset>-95003</wp:posOffset>
          </wp:positionV>
          <wp:extent cx="4919387" cy="1211283"/>
          <wp:effectExtent l="0" t="0" r="0" b="8255"/>
          <wp:wrapNone/>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jc w:val="center"/>
      <w:rPr>
        <w:rFonts w:ascii="Verdana" w:hAnsi="Verdana"/>
        <w:sz w:val="32"/>
      </w:rPr>
    </w:pPr>
    <w:r>
      <w:rPr>
        <w:noProof/>
        <w:lang w:eastAsia="fr-BE"/>
      </w:rPr>
      <w:drawing>
        <wp:anchor distT="0" distB="0" distL="114300" distR="114300" simplePos="0" relativeHeight="251663360" behindDoc="0" locked="0" layoutInCell="1" allowOverlap="1">
          <wp:simplePos x="0" y="0"/>
          <wp:positionH relativeFrom="column">
            <wp:posOffset>-783771</wp:posOffset>
          </wp:positionH>
          <wp:positionV relativeFrom="paragraph">
            <wp:posOffset>-356721</wp:posOffset>
          </wp:positionV>
          <wp:extent cx="1274445" cy="1146175"/>
          <wp:effectExtent l="0" t="0" r="1905" b="0"/>
          <wp:wrapSquare wrapText="bothSides"/>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4445" cy="1146175"/>
                  </a:xfrm>
                  <a:prstGeom prst="rect">
                    <a:avLst/>
                  </a:prstGeom>
                  <a:noFill/>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B32EA"/>
    <w:multiLevelType w:val="hybridMultilevel"/>
    <w:tmpl w:val="DDA8F5BE"/>
    <w:lvl w:ilvl="0" w:tplc="11F8C39E">
      <w:start w:val="1"/>
      <w:numFmt w:val="decimal"/>
      <w:lvlText w:val="%1."/>
      <w:lvlJc w:val="left"/>
      <w:pPr>
        <w:ind w:left="1068" w:hanging="360"/>
      </w:pPr>
      <w:rPr>
        <w:rFonts w:ascii="Verdana" w:eastAsia="Calibri" w:hAnsi="Verdana" w:cs="Times New Roman"/>
      </w:rPr>
    </w:lvl>
    <w:lvl w:ilvl="1" w:tplc="080C0003" w:tentative="1">
      <w:start w:val="1"/>
      <w:numFmt w:val="bullet"/>
      <w:lvlText w:val="o"/>
      <w:lvlJc w:val="left"/>
      <w:pPr>
        <w:ind w:left="1788" w:hanging="360"/>
      </w:pPr>
      <w:rPr>
        <w:rFonts w:ascii="Courier New" w:hAnsi="Courier New" w:cs="Courier New" w:hint="default"/>
      </w:rPr>
    </w:lvl>
    <w:lvl w:ilvl="2" w:tplc="080C0005" w:tentative="1">
      <w:start w:val="1"/>
      <w:numFmt w:val="bullet"/>
      <w:lvlText w:val=""/>
      <w:lvlJc w:val="left"/>
      <w:pPr>
        <w:ind w:left="2508" w:hanging="360"/>
      </w:pPr>
      <w:rPr>
        <w:rFonts w:ascii="Wingdings" w:hAnsi="Wingdings" w:hint="default"/>
      </w:rPr>
    </w:lvl>
    <w:lvl w:ilvl="3" w:tplc="080C0001" w:tentative="1">
      <w:start w:val="1"/>
      <w:numFmt w:val="bullet"/>
      <w:lvlText w:val=""/>
      <w:lvlJc w:val="left"/>
      <w:pPr>
        <w:ind w:left="3228" w:hanging="360"/>
      </w:pPr>
      <w:rPr>
        <w:rFonts w:ascii="Symbol" w:hAnsi="Symbol" w:hint="default"/>
      </w:rPr>
    </w:lvl>
    <w:lvl w:ilvl="4" w:tplc="080C0003" w:tentative="1">
      <w:start w:val="1"/>
      <w:numFmt w:val="bullet"/>
      <w:lvlText w:val="o"/>
      <w:lvlJc w:val="left"/>
      <w:pPr>
        <w:ind w:left="3948" w:hanging="360"/>
      </w:pPr>
      <w:rPr>
        <w:rFonts w:ascii="Courier New" w:hAnsi="Courier New" w:cs="Courier New" w:hint="default"/>
      </w:rPr>
    </w:lvl>
    <w:lvl w:ilvl="5" w:tplc="080C0005" w:tentative="1">
      <w:start w:val="1"/>
      <w:numFmt w:val="bullet"/>
      <w:lvlText w:val=""/>
      <w:lvlJc w:val="left"/>
      <w:pPr>
        <w:ind w:left="4668" w:hanging="360"/>
      </w:pPr>
      <w:rPr>
        <w:rFonts w:ascii="Wingdings" w:hAnsi="Wingdings" w:hint="default"/>
      </w:rPr>
    </w:lvl>
    <w:lvl w:ilvl="6" w:tplc="080C0001" w:tentative="1">
      <w:start w:val="1"/>
      <w:numFmt w:val="bullet"/>
      <w:lvlText w:val=""/>
      <w:lvlJc w:val="left"/>
      <w:pPr>
        <w:ind w:left="5388" w:hanging="360"/>
      </w:pPr>
      <w:rPr>
        <w:rFonts w:ascii="Symbol" w:hAnsi="Symbol" w:hint="default"/>
      </w:rPr>
    </w:lvl>
    <w:lvl w:ilvl="7" w:tplc="080C0003" w:tentative="1">
      <w:start w:val="1"/>
      <w:numFmt w:val="bullet"/>
      <w:lvlText w:val="o"/>
      <w:lvlJc w:val="left"/>
      <w:pPr>
        <w:ind w:left="6108" w:hanging="360"/>
      </w:pPr>
      <w:rPr>
        <w:rFonts w:ascii="Courier New" w:hAnsi="Courier New" w:cs="Courier New" w:hint="default"/>
      </w:rPr>
    </w:lvl>
    <w:lvl w:ilvl="8" w:tplc="080C0005" w:tentative="1">
      <w:start w:val="1"/>
      <w:numFmt w:val="bullet"/>
      <w:lvlText w:val=""/>
      <w:lvlJc w:val="left"/>
      <w:pPr>
        <w:ind w:left="6828" w:hanging="360"/>
      </w:pPr>
      <w:rPr>
        <w:rFonts w:ascii="Wingdings" w:hAnsi="Wingdings" w:hint="default"/>
      </w:rPr>
    </w:lvl>
  </w:abstractNum>
  <w:abstractNum w:abstractNumId="1" w15:restartNumberingAfterBreak="0">
    <w:nsid w:val="03016C98"/>
    <w:multiLevelType w:val="hybridMultilevel"/>
    <w:tmpl w:val="D6C041C2"/>
    <w:lvl w:ilvl="0" w:tplc="605654BA">
      <w:start w:val="1"/>
      <w:numFmt w:val="decimal"/>
      <w:lvlText w:val="%1."/>
      <w:lvlJc w:val="left"/>
      <w:pPr>
        <w:ind w:left="720" w:hanging="360"/>
      </w:pPr>
      <w:rPr>
        <w:rFonts w:hint="default"/>
        <w:i/>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07771874"/>
    <w:multiLevelType w:val="hybridMultilevel"/>
    <w:tmpl w:val="8132F082"/>
    <w:lvl w:ilvl="0" w:tplc="080C000B">
      <w:start w:val="1"/>
      <w:numFmt w:val="bullet"/>
      <w:lvlText w:val=""/>
      <w:lvlJc w:val="left"/>
      <w:pPr>
        <w:ind w:left="1440" w:hanging="360"/>
      </w:pPr>
      <w:rPr>
        <w:rFonts w:ascii="Wingdings" w:hAnsi="Wingdings"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3" w15:restartNumberingAfterBreak="0">
    <w:nsid w:val="09664D67"/>
    <w:multiLevelType w:val="hybridMultilevel"/>
    <w:tmpl w:val="F06AB02A"/>
    <w:lvl w:ilvl="0" w:tplc="7A8002E2">
      <w:start w:val="1"/>
      <w:numFmt w:val="decimal"/>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4" w15:restartNumberingAfterBreak="0">
    <w:nsid w:val="0C7929A9"/>
    <w:multiLevelType w:val="hybridMultilevel"/>
    <w:tmpl w:val="8A08C73A"/>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0CA24421"/>
    <w:multiLevelType w:val="hybridMultilevel"/>
    <w:tmpl w:val="634A8424"/>
    <w:lvl w:ilvl="0" w:tplc="4F8AF212">
      <w:start w:val="1"/>
      <w:numFmt w:val="decimal"/>
      <w:lvlText w:val="%1."/>
      <w:lvlJc w:val="left"/>
      <w:pPr>
        <w:ind w:left="720" w:hanging="360"/>
      </w:pPr>
      <w:rPr>
        <w:rFonts w:hint="default"/>
        <w:i/>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119417EC"/>
    <w:multiLevelType w:val="hybridMultilevel"/>
    <w:tmpl w:val="9BB84958"/>
    <w:lvl w:ilvl="0" w:tplc="4C68B120">
      <w:start w:val="1"/>
      <w:numFmt w:val="decimal"/>
      <w:lvlText w:val="%1."/>
      <w:lvlJc w:val="left"/>
      <w:pPr>
        <w:ind w:left="1080" w:hanging="360"/>
      </w:pPr>
      <w:rPr>
        <w:rFonts w:ascii="Verdana" w:eastAsia="Calibri" w:hAnsi="Verdana" w:cs="Times New Roman"/>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7" w15:restartNumberingAfterBreak="0">
    <w:nsid w:val="156619DE"/>
    <w:multiLevelType w:val="hybridMultilevel"/>
    <w:tmpl w:val="20B87DBE"/>
    <w:lvl w:ilvl="0" w:tplc="6EE81B6E">
      <w:start w:val="1"/>
      <w:numFmt w:val="upperLetter"/>
      <w:lvlText w:val="%1."/>
      <w:lvlJc w:val="left"/>
      <w:pPr>
        <w:ind w:left="720" w:hanging="360"/>
      </w:pPr>
      <w:rPr>
        <w:rFonts w:ascii="Calibri" w:eastAsia="Times New Roman" w:hAnsi="Calibri" w:cs="Times New Roman"/>
        <w:color w:val="000000" w:themeColor="text1"/>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15B03B14"/>
    <w:multiLevelType w:val="hybridMultilevel"/>
    <w:tmpl w:val="36E2049C"/>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15E117B0"/>
    <w:multiLevelType w:val="hybridMultilevel"/>
    <w:tmpl w:val="792ADFDE"/>
    <w:lvl w:ilvl="0" w:tplc="080C000F">
      <w:start w:val="1"/>
      <w:numFmt w:val="decimal"/>
      <w:lvlText w:val="%1."/>
      <w:lvlJc w:val="left"/>
      <w:pPr>
        <w:ind w:left="1068" w:hanging="360"/>
      </w:pPr>
      <w:rPr>
        <w:rFonts w:hint="default"/>
      </w:rPr>
    </w:lvl>
    <w:lvl w:ilvl="1" w:tplc="080C0019" w:tentative="1">
      <w:start w:val="1"/>
      <w:numFmt w:val="lowerLetter"/>
      <w:lvlText w:val="%2."/>
      <w:lvlJc w:val="left"/>
      <w:pPr>
        <w:ind w:left="1788" w:hanging="360"/>
      </w:pPr>
    </w:lvl>
    <w:lvl w:ilvl="2" w:tplc="080C001B" w:tentative="1">
      <w:start w:val="1"/>
      <w:numFmt w:val="lowerRoman"/>
      <w:lvlText w:val="%3."/>
      <w:lvlJc w:val="right"/>
      <w:pPr>
        <w:ind w:left="2508" w:hanging="180"/>
      </w:pPr>
    </w:lvl>
    <w:lvl w:ilvl="3" w:tplc="080C000F" w:tentative="1">
      <w:start w:val="1"/>
      <w:numFmt w:val="decimal"/>
      <w:lvlText w:val="%4."/>
      <w:lvlJc w:val="left"/>
      <w:pPr>
        <w:ind w:left="3228" w:hanging="360"/>
      </w:pPr>
    </w:lvl>
    <w:lvl w:ilvl="4" w:tplc="080C0019" w:tentative="1">
      <w:start w:val="1"/>
      <w:numFmt w:val="lowerLetter"/>
      <w:lvlText w:val="%5."/>
      <w:lvlJc w:val="left"/>
      <w:pPr>
        <w:ind w:left="3948" w:hanging="360"/>
      </w:pPr>
    </w:lvl>
    <w:lvl w:ilvl="5" w:tplc="080C001B" w:tentative="1">
      <w:start w:val="1"/>
      <w:numFmt w:val="lowerRoman"/>
      <w:lvlText w:val="%6."/>
      <w:lvlJc w:val="right"/>
      <w:pPr>
        <w:ind w:left="4668" w:hanging="180"/>
      </w:pPr>
    </w:lvl>
    <w:lvl w:ilvl="6" w:tplc="080C000F" w:tentative="1">
      <w:start w:val="1"/>
      <w:numFmt w:val="decimal"/>
      <w:lvlText w:val="%7."/>
      <w:lvlJc w:val="left"/>
      <w:pPr>
        <w:ind w:left="5388" w:hanging="360"/>
      </w:pPr>
    </w:lvl>
    <w:lvl w:ilvl="7" w:tplc="080C0019" w:tentative="1">
      <w:start w:val="1"/>
      <w:numFmt w:val="lowerLetter"/>
      <w:lvlText w:val="%8."/>
      <w:lvlJc w:val="left"/>
      <w:pPr>
        <w:ind w:left="6108" w:hanging="360"/>
      </w:pPr>
    </w:lvl>
    <w:lvl w:ilvl="8" w:tplc="080C001B" w:tentative="1">
      <w:start w:val="1"/>
      <w:numFmt w:val="lowerRoman"/>
      <w:lvlText w:val="%9."/>
      <w:lvlJc w:val="right"/>
      <w:pPr>
        <w:ind w:left="6828" w:hanging="180"/>
      </w:pPr>
    </w:lvl>
  </w:abstractNum>
  <w:abstractNum w:abstractNumId="10" w15:restartNumberingAfterBreak="0">
    <w:nsid w:val="18DA1199"/>
    <w:multiLevelType w:val="hybridMultilevel"/>
    <w:tmpl w:val="69A20BBC"/>
    <w:lvl w:ilvl="0" w:tplc="0D549248">
      <w:start w:val="1"/>
      <w:numFmt w:val="decimal"/>
      <w:lvlText w:val="%1."/>
      <w:lvlJc w:val="lef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1" w15:restartNumberingAfterBreak="0">
    <w:nsid w:val="1E584CD3"/>
    <w:multiLevelType w:val="hybridMultilevel"/>
    <w:tmpl w:val="1F207236"/>
    <w:lvl w:ilvl="0" w:tplc="12464D56">
      <w:start w:val="1"/>
      <w:numFmt w:val="decimal"/>
      <w:lvlText w:val="%1."/>
      <w:lvlJc w:val="left"/>
      <w:pPr>
        <w:ind w:left="1080" w:hanging="360"/>
      </w:pPr>
      <w:rPr>
        <w:rFonts w:ascii="Verdana" w:eastAsia="Calibri" w:hAnsi="Verdana" w:cs="Times New Roman"/>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2" w15:restartNumberingAfterBreak="0">
    <w:nsid w:val="1F6B73D0"/>
    <w:multiLevelType w:val="hybridMultilevel"/>
    <w:tmpl w:val="751AF72E"/>
    <w:lvl w:ilvl="0" w:tplc="080C000B">
      <w:start w:val="1"/>
      <w:numFmt w:val="bullet"/>
      <w:lvlText w:val=""/>
      <w:lvlJc w:val="left"/>
      <w:pPr>
        <w:ind w:left="1440" w:hanging="360"/>
      </w:pPr>
      <w:rPr>
        <w:rFonts w:ascii="Wingdings" w:hAnsi="Wingdings"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3" w15:restartNumberingAfterBreak="0">
    <w:nsid w:val="2A204F10"/>
    <w:multiLevelType w:val="hybridMultilevel"/>
    <w:tmpl w:val="73D062EE"/>
    <w:lvl w:ilvl="0" w:tplc="C40A3F08">
      <w:start w:val="1"/>
      <w:numFmt w:val="decimal"/>
      <w:lvlText w:val="%1."/>
      <w:lvlJc w:val="left"/>
      <w:pPr>
        <w:ind w:left="1080" w:hanging="360"/>
      </w:pPr>
      <w:rPr>
        <w:rFonts w:ascii="Verdana" w:eastAsia="Calibri" w:hAnsi="Verdana" w:cs="Times New Roman"/>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4" w15:restartNumberingAfterBreak="0">
    <w:nsid w:val="2E744F1E"/>
    <w:multiLevelType w:val="hybridMultilevel"/>
    <w:tmpl w:val="554C9E74"/>
    <w:lvl w:ilvl="0" w:tplc="523E9C44">
      <w:start w:val="1"/>
      <w:numFmt w:val="decimal"/>
      <w:lvlText w:val="%1."/>
      <w:lvlJc w:val="left"/>
      <w:pPr>
        <w:ind w:left="1068" w:hanging="360"/>
      </w:pPr>
      <w:rPr>
        <w:rFonts w:hint="default"/>
      </w:rPr>
    </w:lvl>
    <w:lvl w:ilvl="1" w:tplc="080C0019" w:tentative="1">
      <w:start w:val="1"/>
      <w:numFmt w:val="lowerLetter"/>
      <w:lvlText w:val="%2."/>
      <w:lvlJc w:val="left"/>
      <w:pPr>
        <w:ind w:left="1788" w:hanging="360"/>
      </w:pPr>
    </w:lvl>
    <w:lvl w:ilvl="2" w:tplc="080C001B" w:tentative="1">
      <w:start w:val="1"/>
      <w:numFmt w:val="lowerRoman"/>
      <w:lvlText w:val="%3."/>
      <w:lvlJc w:val="right"/>
      <w:pPr>
        <w:ind w:left="2508" w:hanging="180"/>
      </w:pPr>
    </w:lvl>
    <w:lvl w:ilvl="3" w:tplc="080C000F" w:tentative="1">
      <w:start w:val="1"/>
      <w:numFmt w:val="decimal"/>
      <w:lvlText w:val="%4."/>
      <w:lvlJc w:val="left"/>
      <w:pPr>
        <w:ind w:left="3228" w:hanging="360"/>
      </w:pPr>
    </w:lvl>
    <w:lvl w:ilvl="4" w:tplc="080C0019" w:tentative="1">
      <w:start w:val="1"/>
      <w:numFmt w:val="lowerLetter"/>
      <w:lvlText w:val="%5."/>
      <w:lvlJc w:val="left"/>
      <w:pPr>
        <w:ind w:left="3948" w:hanging="360"/>
      </w:pPr>
    </w:lvl>
    <w:lvl w:ilvl="5" w:tplc="080C001B" w:tentative="1">
      <w:start w:val="1"/>
      <w:numFmt w:val="lowerRoman"/>
      <w:lvlText w:val="%6."/>
      <w:lvlJc w:val="right"/>
      <w:pPr>
        <w:ind w:left="4668" w:hanging="180"/>
      </w:pPr>
    </w:lvl>
    <w:lvl w:ilvl="6" w:tplc="080C000F" w:tentative="1">
      <w:start w:val="1"/>
      <w:numFmt w:val="decimal"/>
      <w:lvlText w:val="%7."/>
      <w:lvlJc w:val="left"/>
      <w:pPr>
        <w:ind w:left="5388" w:hanging="360"/>
      </w:pPr>
    </w:lvl>
    <w:lvl w:ilvl="7" w:tplc="080C0019" w:tentative="1">
      <w:start w:val="1"/>
      <w:numFmt w:val="lowerLetter"/>
      <w:lvlText w:val="%8."/>
      <w:lvlJc w:val="left"/>
      <w:pPr>
        <w:ind w:left="6108" w:hanging="360"/>
      </w:pPr>
    </w:lvl>
    <w:lvl w:ilvl="8" w:tplc="080C001B" w:tentative="1">
      <w:start w:val="1"/>
      <w:numFmt w:val="lowerRoman"/>
      <w:lvlText w:val="%9."/>
      <w:lvlJc w:val="right"/>
      <w:pPr>
        <w:ind w:left="6828" w:hanging="180"/>
      </w:pPr>
    </w:lvl>
  </w:abstractNum>
  <w:abstractNum w:abstractNumId="15" w15:restartNumberingAfterBreak="0">
    <w:nsid w:val="316F37FB"/>
    <w:multiLevelType w:val="hybridMultilevel"/>
    <w:tmpl w:val="A49EC6F8"/>
    <w:lvl w:ilvl="0" w:tplc="660C77AC">
      <w:start w:val="4"/>
      <w:numFmt w:val="bullet"/>
      <w:lvlText w:val="-"/>
      <w:lvlJc w:val="left"/>
      <w:pPr>
        <w:ind w:left="290" w:hanging="360"/>
      </w:pPr>
      <w:rPr>
        <w:rFonts w:ascii="Calibri" w:eastAsia="Times New Roman" w:hAnsi="Calibri" w:cs="Calibri" w:hint="default"/>
      </w:rPr>
    </w:lvl>
    <w:lvl w:ilvl="1" w:tplc="080C0003" w:tentative="1">
      <w:start w:val="1"/>
      <w:numFmt w:val="bullet"/>
      <w:lvlText w:val="o"/>
      <w:lvlJc w:val="left"/>
      <w:pPr>
        <w:ind w:left="1010" w:hanging="360"/>
      </w:pPr>
      <w:rPr>
        <w:rFonts w:ascii="Courier New" w:hAnsi="Courier New" w:cs="Courier New" w:hint="default"/>
      </w:rPr>
    </w:lvl>
    <w:lvl w:ilvl="2" w:tplc="080C0005" w:tentative="1">
      <w:start w:val="1"/>
      <w:numFmt w:val="bullet"/>
      <w:lvlText w:val=""/>
      <w:lvlJc w:val="left"/>
      <w:pPr>
        <w:ind w:left="1730" w:hanging="360"/>
      </w:pPr>
      <w:rPr>
        <w:rFonts w:ascii="Wingdings" w:hAnsi="Wingdings" w:hint="default"/>
      </w:rPr>
    </w:lvl>
    <w:lvl w:ilvl="3" w:tplc="080C0001" w:tentative="1">
      <w:start w:val="1"/>
      <w:numFmt w:val="bullet"/>
      <w:lvlText w:val=""/>
      <w:lvlJc w:val="left"/>
      <w:pPr>
        <w:ind w:left="2450" w:hanging="360"/>
      </w:pPr>
      <w:rPr>
        <w:rFonts w:ascii="Symbol" w:hAnsi="Symbol" w:hint="default"/>
      </w:rPr>
    </w:lvl>
    <w:lvl w:ilvl="4" w:tplc="080C0003" w:tentative="1">
      <w:start w:val="1"/>
      <w:numFmt w:val="bullet"/>
      <w:lvlText w:val="o"/>
      <w:lvlJc w:val="left"/>
      <w:pPr>
        <w:ind w:left="3170" w:hanging="360"/>
      </w:pPr>
      <w:rPr>
        <w:rFonts w:ascii="Courier New" w:hAnsi="Courier New" w:cs="Courier New" w:hint="default"/>
      </w:rPr>
    </w:lvl>
    <w:lvl w:ilvl="5" w:tplc="080C0005" w:tentative="1">
      <w:start w:val="1"/>
      <w:numFmt w:val="bullet"/>
      <w:lvlText w:val=""/>
      <w:lvlJc w:val="left"/>
      <w:pPr>
        <w:ind w:left="3890" w:hanging="360"/>
      </w:pPr>
      <w:rPr>
        <w:rFonts w:ascii="Wingdings" w:hAnsi="Wingdings" w:hint="default"/>
      </w:rPr>
    </w:lvl>
    <w:lvl w:ilvl="6" w:tplc="080C0001" w:tentative="1">
      <w:start w:val="1"/>
      <w:numFmt w:val="bullet"/>
      <w:lvlText w:val=""/>
      <w:lvlJc w:val="left"/>
      <w:pPr>
        <w:ind w:left="4610" w:hanging="360"/>
      </w:pPr>
      <w:rPr>
        <w:rFonts w:ascii="Symbol" w:hAnsi="Symbol" w:hint="default"/>
      </w:rPr>
    </w:lvl>
    <w:lvl w:ilvl="7" w:tplc="080C0003" w:tentative="1">
      <w:start w:val="1"/>
      <w:numFmt w:val="bullet"/>
      <w:lvlText w:val="o"/>
      <w:lvlJc w:val="left"/>
      <w:pPr>
        <w:ind w:left="5330" w:hanging="360"/>
      </w:pPr>
      <w:rPr>
        <w:rFonts w:ascii="Courier New" w:hAnsi="Courier New" w:cs="Courier New" w:hint="default"/>
      </w:rPr>
    </w:lvl>
    <w:lvl w:ilvl="8" w:tplc="080C0005" w:tentative="1">
      <w:start w:val="1"/>
      <w:numFmt w:val="bullet"/>
      <w:lvlText w:val=""/>
      <w:lvlJc w:val="left"/>
      <w:pPr>
        <w:ind w:left="6050" w:hanging="360"/>
      </w:pPr>
      <w:rPr>
        <w:rFonts w:ascii="Wingdings" w:hAnsi="Wingdings" w:hint="default"/>
      </w:rPr>
    </w:lvl>
  </w:abstractNum>
  <w:abstractNum w:abstractNumId="16" w15:restartNumberingAfterBreak="0">
    <w:nsid w:val="36343086"/>
    <w:multiLevelType w:val="hybridMultilevel"/>
    <w:tmpl w:val="7D84AB5A"/>
    <w:lvl w:ilvl="0" w:tplc="0664A662">
      <w:start w:val="1"/>
      <w:numFmt w:val="decimal"/>
      <w:lvlText w:val="%1."/>
      <w:lvlJc w:val="left"/>
      <w:pPr>
        <w:ind w:left="1068" w:hanging="360"/>
      </w:pPr>
      <w:rPr>
        <w:rFonts w:hint="default"/>
      </w:rPr>
    </w:lvl>
    <w:lvl w:ilvl="1" w:tplc="080C0019" w:tentative="1">
      <w:start w:val="1"/>
      <w:numFmt w:val="lowerLetter"/>
      <w:lvlText w:val="%2."/>
      <w:lvlJc w:val="left"/>
      <w:pPr>
        <w:ind w:left="1788" w:hanging="360"/>
      </w:pPr>
    </w:lvl>
    <w:lvl w:ilvl="2" w:tplc="080C001B" w:tentative="1">
      <w:start w:val="1"/>
      <w:numFmt w:val="lowerRoman"/>
      <w:lvlText w:val="%3."/>
      <w:lvlJc w:val="right"/>
      <w:pPr>
        <w:ind w:left="2508" w:hanging="180"/>
      </w:pPr>
    </w:lvl>
    <w:lvl w:ilvl="3" w:tplc="080C000F" w:tentative="1">
      <w:start w:val="1"/>
      <w:numFmt w:val="decimal"/>
      <w:lvlText w:val="%4."/>
      <w:lvlJc w:val="left"/>
      <w:pPr>
        <w:ind w:left="3228" w:hanging="360"/>
      </w:pPr>
    </w:lvl>
    <w:lvl w:ilvl="4" w:tplc="080C0019" w:tentative="1">
      <w:start w:val="1"/>
      <w:numFmt w:val="lowerLetter"/>
      <w:lvlText w:val="%5."/>
      <w:lvlJc w:val="left"/>
      <w:pPr>
        <w:ind w:left="3948" w:hanging="360"/>
      </w:pPr>
    </w:lvl>
    <w:lvl w:ilvl="5" w:tplc="080C001B" w:tentative="1">
      <w:start w:val="1"/>
      <w:numFmt w:val="lowerRoman"/>
      <w:lvlText w:val="%6."/>
      <w:lvlJc w:val="right"/>
      <w:pPr>
        <w:ind w:left="4668" w:hanging="180"/>
      </w:pPr>
    </w:lvl>
    <w:lvl w:ilvl="6" w:tplc="080C000F" w:tentative="1">
      <w:start w:val="1"/>
      <w:numFmt w:val="decimal"/>
      <w:lvlText w:val="%7."/>
      <w:lvlJc w:val="left"/>
      <w:pPr>
        <w:ind w:left="5388" w:hanging="360"/>
      </w:pPr>
    </w:lvl>
    <w:lvl w:ilvl="7" w:tplc="080C0019" w:tentative="1">
      <w:start w:val="1"/>
      <w:numFmt w:val="lowerLetter"/>
      <w:lvlText w:val="%8."/>
      <w:lvlJc w:val="left"/>
      <w:pPr>
        <w:ind w:left="6108" w:hanging="360"/>
      </w:pPr>
    </w:lvl>
    <w:lvl w:ilvl="8" w:tplc="080C001B" w:tentative="1">
      <w:start w:val="1"/>
      <w:numFmt w:val="lowerRoman"/>
      <w:lvlText w:val="%9."/>
      <w:lvlJc w:val="right"/>
      <w:pPr>
        <w:ind w:left="6828" w:hanging="180"/>
      </w:pPr>
    </w:lvl>
  </w:abstractNum>
  <w:abstractNum w:abstractNumId="17" w15:restartNumberingAfterBreak="0">
    <w:nsid w:val="39343269"/>
    <w:multiLevelType w:val="hybridMultilevel"/>
    <w:tmpl w:val="B41C4248"/>
    <w:lvl w:ilvl="0" w:tplc="4D98455E">
      <w:start w:val="1"/>
      <w:numFmt w:val="decimal"/>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8" w15:restartNumberingAfterBreak="0">
    <w:nsid w:val="3951288C"/>
    <w:multiLevelType w:val="hybridMultilevel"/>
    <w:tmpl w:val="625CC95A"/>
    <w:lvl w:ilvl="0" w:tplc="080C000B">
      <w:start w:val="1"/>
      <w:numFmt w:val="bullet"/>
      <w:lvlText w:val=""/>
      <w:lvlJc w:val="left"/>
      <w:pPr>
        <w:ind w:left="1440" w:hanging="360"/>
      </w:pPr>
      <w:rPr>
        <w:rFonts w:ascii="Wingdings" w:hAnsi="Wingdings"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9" w15:restartNumberingAfterBreak="0">
    <w:nsid w:val="40204DEC"/>
    <w:multiLevelType w:val="hybridMultilevel"/>
    <w:tmpl w:val="6928BFFA"/>
    <w:lvl w:ilvl="0" w:tplc="080C000B">
      <w:start w:val="1"/>
      <w:numFmt w:val="bullet"/>
      <w:lvlText w:val=""/>
      <w:lvlJc w:val="left"/>
      <w:pPr>
        <w:ind w:left="1440" w:hanging="360"/>
      </w:pPr>
      <w:rPr>
        <w:rFonts w:ascii="Wingdings" w:hAnsi="Wingdings"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20" w15:restartNumberingAfterBreak="0">
    <w:nsid w:val="46183F88"/>
    <w:multiLevelType w:val="hybridMultilevel"/>
    <w:tmpl w:val="0F8A98E6"/>
    <w:lvl w:ilvl="0" w:tplc="5E3CBC74">
      <w:start w:val="1"/>
      <w:numFmt w:val="decimal"/>
      <w:lvlText w:val="%1."/>
      <w:lvlJc w:val="left"/>
      <w:pPr>
        <w:ind w:left="1080" w:hanging="360"/>
      </w:pPr>
      <w:rPr>
        <w:rFonts w:ascii="Verdana" w:eastAsia="Calibri" w:hAnsi="Verdana" w:cs="Times New Roman"/>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21" w15:restartNumberingAfterBreak="0">
    <w:nsid w:val="4AC950AC"/>
    <w:multiLevelType w:val="hybridMultilevel"/>
    <w:tmpl w:val="16900E30"/>
    <w:lvl w:ilvl="0" w:tplc="836C61FA">
      <w:start w:val="1"/>
      <w:numFmt w:val="decimal"/>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22" w15:restartNumberingAfterBreak="0">
    <w:nsid w:val="4C5C3549"/>
    <w:multiLevelType w:val="hybridMultilevel"/>
    <w:tmpl w:val="682A920C"/>
    <w:lvl w:ilvl="0" w:tplc="40A6755A">
      <w:start w:val="1"/>
      <w:numFmt w:val="upperLetter"/>
      <w:lvlText w:val="%1."/>
      <w:lvlJc w:val="left"/>
      <w:pPr>
        <w:ind w:left="785" w:hanging="360"/>
      </w:pPr>
      <w:rPr>
        <w:rFonts w:ascii="Calibri" w:eastAsia="Times New Roman" w:hAnsi="Calibri" w:cs="Times New Roman"/>
        <w:color w:val="000000" w:themeColor="text1"/>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3" w15:restartNumberingAfterBreak="0">
    <w:nsid w:val="4F326D49"/>
    <w:multiLevelType w:val="hybridMultilevel"/>
    <w:tmpl w:val="88C6BBEA"/>
    <w:lvl w:ilvl="0" w:tplc="B840E6AC">
      <w:start w:val="1"/>
      <w:numFmt w:val="decimal"/>
      <w:lvlText w:val="%1."/>
      <w:lvlJc w:val="left"/>
      <w:pPr>
        <w:ind w:left="1080" w:hanging="360"/>
      </w:pPr>
      <w:rPr>
        <w:rFonts w:ascii="Verdana" w:eastAsia="Calibri" w:hAnsi="Verdana" w:cs="Times New Roman"/>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24" w15:restartNumberingAfterBreak="0">
    <w:nsid w:val="53873665"/>
    <w:multiLevelType w:val="hybridMultilevel"/>
    <w:tmpl w:val="1D886166"/>
    <w:lvl w:ilvl="0" w:tplc="5748CBE2">
      <w:start w:val="1"/>
      <w:numFmt w:val="decimal"/>
      <w:lvlText w:val="%1."/>
      <w:lvlJc w:val="left"/>
      <w:pPr>
        <w:ind w:left="1068" w:hanging="360"/>
      </w:pPr>
      <w:rPr>
        <w:rFonts w:hint="default"/>
      </w:rPr>
    </w:lvl>
    <w:lvl w:ilvl="1" w:tplc="080C0019" w:tentative="1">
      <w:start w:val="1"/>
      <w:numFmt w:val="lowerLetter"/>
      <w:lvlText w:val="%2."/>
      <w:lvlJc w:val="left"/>
      <w:pPr>
        <w:ind w:left="1788" w:hanging="360"/>
      </w:pPr>
    </w:lvl>
    <w:lvl w:ilvl="2" w:tplc="080C001B" w:tentative="1">
      <w:start w:val="1"/>
      <w:numFmt w:val="lowerRoman"/>
      <w:lvlText w:val="%3."/>
      <w:lvlJc w:val="right"/>
      <w:pPr>
        <w:ind w:left="2508" w:hanging="180"/>
      </w:pPr>
    </w:lvl>
    <w:lvl w:ilvl="3" w:tplc="080C000F" w:tentative="1">
      <w:start w:val="1"/>
      <w:numFmt w:val="decimal"/>
      <w:lvlText w:val="%4."/>
      <w:lvlJc w:val="left"/>
      <w:pPr>
        <w:ind w:left="3228" w:hanging="360"/>
      </w:pPr>
    </w:lvl>
    <w:lvl w:ilvl="4" w:tplc="080C0019" w:tentative="1">
      <w:start w:val="1"/>
      <w:numFmt w:val="lowerLetter"/>
      <w:lvlText w:val="%5."/>
      <w:lvlJc w:val="left"/>
      <w:pPr>
        <w:ind w:left="3948" w:hanging="360"/>
      </w:pPr>
    </w:lvl>
    <w:lvl w:ilvl="5" w:tplc="080C001B" w:tentative="1">
      <w:start w:val="1"/>
      <w:numFmt w:val="lowerRoman"/>
      <w:lvlText w:val="%6."/>
      <w:lvlJc w:val="right"/>
      <w:pPr>
        <w:ind w:left="4668" w:hanging="180"/>
      </w:pPr>
    </w:lvl>
    <w:lvl w:ilvl="6" w:tplc="080C000F" w:tentative="1">
      <w:start w:val="1"/>
      <w:numFmt w:val="decimal"/>
      <w:lvlText w:val="%7."/>
      <w:lvlJc w:val="left"/>
      <w:pPr>
        <w:ind w:left="5388" w:hanging="360"/>
      </w:pPr>
    </w:lvl>
    <w:lvl w:ilvl="7" w:tplc="080C0019" w:tentative="1">
      <w:start w:val="1"/>
      <w:numFmt w:val="lowerLetter"/>
      <w:lvlText w:val="%8."/>
      <w:lvlJc w:val="left"/>
      <w:pPr>
        <w:ind w:left="6108" w:hanging="360"/>
      </w:pPr>
    </w:lvl>
    <w:lvl w:ilvl="8" w:tplc="080C001B" w:tentative="1">
      <w:start w:val="1"/>
      <w:numFmt w:val="lowerRoman"/>
      <w:lvlText w:val="%9."/>
      <w:lvlJc w:val="right"/>
      <w:pPr>
        <w:ind w:left="6828" w:hanging="180"/>
      </w:pPr>
    </w:lvl>
  </w:abstractNum>
  <w:abstractNum w:abstractNumId="25" w15:restartNumberingAfterBreak="0">
    <w:nsid w:val="542E3B49"/>
    <w:multiLevelType w:val="hybridMultilevel"/>
    <w:tmpl w:val="5CD23BA4"/>
    <w:lvl w:ilvl="0" w:tplc="25907C70">
      <w:start w:val="1"/>
      <w:numFmt w:val="decimal"/>
      <w:lvlText w:val="%1."/>
      <w:lvlJc w:val="left"/>
      <w:pPr>
        <w:ind w:left="1068" w:hanging="360"/>
      </w:pPr>
      <w:rPr>
        <w:rFonts w:hint="default"/>
      </w:rPr>
    </w:lvl>
    <w:lvl w:ilvl="1" w:tplc="080C0019" w:tentative="1">
      <w:start w:val="1"/>
      <w:numFmt w:val="lowerLetter"/>
      <w:lvlText w:val="%2."/>
      <w:lvlJc w:val="left"/>
      <w:pPr>
        <w:ind w:left="1788" w:hanging="360"/>
      </w:pPr>
    </w:lvl>
    <w:lvl w:ilvl="2" w:tplc="080C001B" w:tentative="1">
      <w:start w:val="1"/>
      <w:numFmt w:val="lowerRoman"/>
      <w:lvlText w:val="%3."/>
      <w:lvlJc w:val="right"/>
      <w:pPr>
        <w:ind w:left="2508" w:hanging="180"/>
      </w:pPr>
    </w:lvl>
    <w:lvl w:ilvl="3" w:tplc="080C000F" w:tentative="1">
      <w:start w:val="1"/>
      <w:numFmt w:val="decimal"/>
      <w:lvlText w:val="%4."/>
      <w:lvlJc w:val="left"/>
      <w:pPr>
        <w:ind w:left="3228" w:hanging="360"/>
      </w:pPr>
    </w:lvl>
    <w:lvl w:ilvl="4" w:tplc="080C0019" w:tentative="1">
      <w:start w:val="1"/>
      <w:numFmt w:val="lowerLetter"/>
      <w:lvlText w:val="%5."/>
      <w:lvlJc w:val="left"/>
      <w:pPr>
        <w:ind w:left="3948" w:hanging="360"/>
      </w:pPr>
    </w:lvl>
    <w:lvl w:ilvl="5" w:tplc="080C001B" w:tentative="1">
      <w:start w:val="1"/>
      <w:numFmt w:val="lowerRoman"/>
      <w:lvlText w:val="%6."/>
      <w:lvlJc w:val="right"/>
      <w:pPr>
        <w:ind w:left="4668" w:hanging="180"/>
      </w:pPr>
    </w:lvl>
    <w:lvl w:ilvl="6" w:tplc="080C000F" w:tentative="1">
      <w:start w:val="1"/>
      <w:numFmt w:val="decimal"/>
      <w:lvlText w:val="%7."/>
      <w:lvlJc w:val="left"/>
      <w:pPr>
        <w:ind w:left="5388" w:hanging="360"/>
      </w:pPr>
    </w:lvl>
    <w:lvl w:ilvl="7" w:tplc="080C0019" w:tentative="1">
      <w:start w:val="1"/>
      <w:numFmt w:val="lowerLetter"/>
      <w:lvlText w:val="%8."/>
      <w:lvlJc w:val="left"/>
      <w:pPr>
        <w:ind w:left="6108" w:hanging="360"/>
      </w:pPr>
    </w:lvl>
    <w:lvl w:ilvl="8" w:tplc="080C001B" w:tentative="1">
      <w:start w:val="1"/>
      <w:numFmt w:val="lowerRoman"/>
      <w:lvlText w:val="%9."/>
      <w:lvlJc w:val="right"/>
      <w:pPr>
        <w:ind w:left="6828" w:hanging="180"/>
      </w:pPr>
    </w:lvl>
  </w:abstractNum>
  <w:abstractNum w:abstractNumId="26" w15:restartNumberingAfterBreak="0">
    <w:nsid w:val="54D650C6"/>
    <w:multiLevelType w:val="hybridMultilevel"/>
    <w:tmpl w:val="EB4EAE4A"/>
    <w:lvl w:ilvl="0" w:tplc="080C000F">
      <w:start w:val="1"/>
      <w:numFmt w:val="decimal"/>
      <w:lvlText w:val="%1."/>
      <w:lvlJc w:val="left"/>
      <w:pPr>
        <w:ind w:left="1068" w:hanging="360"/>
      </w:pPr>
      <w:rPr>
        <w:rFonts w:hint="default"/>
      </w:rPr>
    </w:lvl>
    <w:lvl w:ilvl="1" w:tplc="080C0019" w:tentative="1">
      <w:start w:val="1"/>
      <w:numFmt w:val="lowerLetter"/>
      <w:lvlText w:val="%2."/>
      <w:lvlJc w:val="left"/>
      <w:pPr>
        <w:ind w:left="1788" w:hanging="360"/>
      </w:pPr>
    </w:lvl>
    <w:lvl w:ilvl="2" w:tplc="080C001B" w:tentative="1">
      <w:start w:val="1"/>
      <w:numFmt w:val="lowerRoman"/>
      <w:lvlText w:val="%3."/>
      <w:lvlJc w:val="right"/>
      <w:pPr>
        <w:ind w:left="2508" w:hanging="180"/>
      </w:pPr>
    </w:lvl>
    <w:lvl w:ilvl="3" w:tplc="080C000F" w:tentative="1">
      <w:start w:val="1"/>
      <w:numFmt w:val="decimal"/>
      <w:lvlText w:val="%4."/>
      <w:lvlJc w:val="left"/>
      <w:pPr>
        <w:ind w:left="3228" w:hanging="360"/>
      </w:pPr>
    </w:lvl>
    <w:lvl w:ilvl="4" w:tplc="080C0019" w:tentative="1">
      <w:start w:val="1"/>
      <w:numFmt w:val="lowerLetter"/>
      <w:lvlText w:val="%5."/>
      <w:lvlJc w:val="left"/>
      <w:pPr>
        <w:ind w:left="3948" w:hanging="360"/>
      </w:pPr>
    </w:lvl>
    <w:lvl w:ilvl="5" w:tplc="080C001B" w:tentative="1">
      <w:start w:val="1"/>
      <w:numFmt w:val="lowerRoman"/>
      <w:lvlText w:val="%6."/>
      <w:lvlJc w:val="right"/>
      <w:pPr>
        <w:ind w:left="4668" w:hanging="180"/>
      </w:pPr>
    </w:lvl>
    <w:lvl w:ilvl="6" w:tplc="080C000F" w:tentative="1">
      <w:start w:val="1"/>
      <w:numFmt w:val="decimal"/>
      <w:lvlText w:val="%7."/>
      <w:lvlJc w:val="left"/>
      <w:pPr>
        <w:ind w:left="5388" w:hanging="360"/>
      </w:pPr>
    </w:lvl>
    <w:lvl w:ilvl="7" w:tplc="080C0019" w:tentative="1">
      <w:start w:val="1"/>
      <w:numFmt w:val="lowerLetter"/>
      <w:lvlText w:val="%8."/>
      <w:lvlJc w:val="left"/>
      <w:pPr>
        <w:ind w:left="6108" w:hanging="360"/>
      </w:pPr>
    </w:lvl>
    <w:lvl w:ilvl="8" w:tplc="080C001B" w:tentative="1">
      <w:start w:val="1"/>
      <w:numFmt w:val="lowerRoman"/>
      <w:lvlText w:val="%9."/>
      <w:lvlJc w:val="right"/>
      <w:pPr>
        <w:ind w:left="6828" w:hanging="180"/>
      </w:pPr>
    </w:lvl>
  </w:abstractNum>
  <w:abstractNum w:abstractNumId="27" w15:restartNumberingAfterBreak="0">
    <w:nsid w:val="5C3526F7"/>
    <w:multiLevelType w:val="hybridMultilevel"/>
    <w:tmpl w:val="80084C30"/>
    <w:lvl w:ilvl="0" w:tplc="902A2ECA">
      <w:start w:val="1"/>
      <w:numFmt w:val="decimal"/>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28" w15:restartNumberingAfterBreak="0">
    <w:nsid w:val="64C40118"/>
    <w:multiLevelType w:val="hybridMultilevel"/>
    <w:tmpl w:val="BC548520"/>
    <w:lvl w:ilvl="0" w:tplc="76F4098C">
      <w:start w:val="3"/>
      <w:numFmt w:val="bullet"/>
      <w:lvlText w:val="-"/>
      <w:lvlJc w:val="left"/>
      <w:pPr>
        <w:ind w:left="720" w:hanging="360"/>
      </w:pPr>
      <w:rPr>
        <w:rFonts w:ascii="Verdana" w:eastAsia="Times New Roman" w:hAnsi="Verdana"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9" w15:restartNumberingAfterBreak="0">
    <w:nsid w:val="6527490C"/>
    <w:multiLevelType w:val="hybridMultilevel"/>
    <w:tmpl w:val="1AFA4368"/>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0" w15:restartNumberingAfterBreak="0">
    <w:nsid w:val="66581705"/>
    <w:multiLevelType w:val="hybridMultilevel"/>
    <w:tmpl w:val="682A920C"/>
    <w:lvl w:ilvl="0" w:tplc="40A6755A">
      <w:start w:val="1"/>
      <w:numFmt w:val="upperLetter"/>
      <w:lvlText w:val="%1."/>
      <w:lvlJc w:val="left"/>
      <w:pPr>
        <w:ind w:left="785" w:hanging="360"/>
      </w:pPr>
      <w:rPr>
        <w:rFonts w:ascii="Calibri" w:eastAsia="Times New Roman" w:hAnsi="Calibri" w:cs="Times New Roman"/>
        <w:color w:val="000000" w:themeColor="text1"/>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1" w15:restartNumberingAfterBreak="0">
    <w:nsid w:val="67016745"/>
    <w:multiLevelType w:val="hybridMultilevel"/>
    <w:tmpl w:val="9C76E5AA"/>
    <w:lvl w:ilvl="0" w:tplc="394C8368">
      <w:start w:val="1"/>
      <w:numFmt w:val="decimal"/>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32" w15:restartNumberingAfterBreak="0">
    <w:nsid w:val="6A144E48"/>
    <w:multiLevelType w:val="hybridMultilevel"/>
    <w:tmpl w:val="A35A33C8"/>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3" w15:restartNumberingAfterBreak="0">
    <w:nsid w:val="6B1251B5"/>
    <w:multiLevelType w:val="hybridMultilevel"/>
    <w:tmpl w:val="D4485BB8"/>
    <w:lvl w:ilvl="0" w:tplc="BA7EEEC6">
      <w:start w:val="1"/>
      <w:numFmt w:val="decimal"/>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34" w15:restartNumberingAfterBreak="0">
    <w:nsid w:val="6C996DC2"/>
    <w:multiLevelType w:val="hybridMultilevel"/>
    <w:tmpl w:val="E4A29676"/>
    <w:lvl w:ilvl="0" w:tplc="1D9AE4C4">
      <w:start w:val="1"/>
      <w:numFmt w:val="decimal"/>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35" w15:restartNumberingAfterBreak="0">
    <w:nsid w:val="6D0071D1"/>
    <w:multiLevelType w:val="hybridMultilevel"/>
    <w:tmpl w:val="48A2D66E"/>
    <w:lvl w:ilvl="0" w:tplc="080C000B">
      <w:start w:val="1"/>
      <w:numFmt w:val="bullet"/>
      <w:lvlText w:val=""/>
      <w:lvlJc w:val="left"/>
      <w:pPr>
        <w:ind w:left="1440" w:hanging="360"/>
      </w:pPr>
      <w:rPr>
        <w:rFonts w:ascii="Wingdings" w:hAnsi="Wingdings"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36" w15:restartNumberingAfterBreak="0">
    <w:nsid w:val="6E1E508B"/>
    <w:multiLevelType w:val="hybridMultilevel"/>
    <w:tmpl w:val="FB909044"/>
    <w:lvl w:ilvl="0" w:tplc="E5220208">
      <w:start w:val="1"/>
      <w:numFmt w:val="decimal"/>
      <w:lvlText w:val="%1."/>
      <w:lvlJc w:val="left"/>
      <w:pPr>
        <w:ind w:left="1080" w:hanging="360"/>
      </w:pPr>
      <w:rPr>
        <w:rFonts w:ascii="Verdana" w:eastAsiaTheme="minorHAnsi" w:hAnsi="Verdana" w:cstheme="minorBidi"/>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37" w15:restartNumberingAfterBreak="0">
    <w:nsid w:val="6E6C6A3D"/>
    <w:multiLevelType w:val="hybridMultilevel"/>
    <w:tmpl w:val="F3524DC8"/>
    <w:lvl w:ilvl="0" w:tplc="080C000B">
      <w:start w:val="1"/>
      <w:numFmt w:val="bullet"/>
      <w:lvlText w:val=""/>
      <w:lvlJc w:val="left"/>
      <w:pPr>
        <w:ind w:left="1440" w:hanging="360"/>
      </w:pPr>
      <w:rPr>
        <w:rFonts w:ascii="Wingdings" w:hAnsi="Wingdings"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38" w15:restartNumberingAfterBreak="0">
    <w:nsid w:val="75644995"/>
    <w:multiLevelType w:val="hybridMultilevel"/>
    <w:tmpl w:val="682A920C"/>
    <w:lvl w:ilvl="0" w:tplc="40A6755A">
      <w:start w:val="1"/>
      <w:numFmt w:val="upperLetter"/>
      <w:lvlText w:val="%1."/>
      <w:lvlJc w:val="left"/>
      <w:pPr>
        <w:ind w:left="785" w:hanging="360"/>
      </w:pPr>
      <w:rPr>
        <w:rFonts w:ascii="Calibri" w:eastAsia="Times New Roman" w:hAnsi="Calibri" w:cs="Times New Roman"/>
        <w:color w:val="000000" w:themeColor="text1"/>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9" w15:restartNumberingAfterBreak="0">
    <w:nsid w:val="78C62275"/>
    <w:multiLevelType w:val="hybridMultilevel"/>
    <w:tmpl w:val="D5E40B32"/>
    <w:lvl w:ilvl="0" w:tplc="2222EED4">
      <w:start w:val="1"/>
      <w:numFmt w:val="decimal"/>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40" w15:restartNumberingAfterBreak="0">
    <w:nsid w:val="78CC7D67"/>
    <w:multiLevelType w:val="hybridMultilevel"/>
    <w:tmpl w:val="EB3885F6"/>
    <w:lvl w:ilvl="0" w:tplc="C3AC3AC4">
      <w:start w:val="1"/>
      <w:numFmt w:val="decimal"/>
      <w:lvlText w:val="%1."/>
      <w:lvlJc w:val="left"/>
      <w:pPr>
        <w:ind w:left="1080" w:hanging="360"/>
      </w:pPr>
      <w:rPr>
        <w:rFonts w:ascii="Verdana" w:eastAsiaTheme="minorHAnsi" w:hAnsi="Verdana" w:cstheme="minorBidi"/>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41" w15:restartNumberingAfterBreak="0">
    <w:nsid w:val="78E9469F"/>
    <w:multiLevelType w:val="hybridMultilevel"/>
    <w:tmpl w:val="9A460E1E"/>
    <w:lvl w:ilvl="0" w:tplc="080C000B">
      <w:start w:val="1"/>
      <w:numFmt w:val="bullet"/>
      <w:lvlText w:val=""/>
      <w:lvlJc w:val="left"/>
      <w:pPr>
        <w:ind w:left="1440" w:hanging="360"/>
      </w:pPr>
      <w:rPr>
        <w:rFonts w:ascii="Wingdings" w:hAnsi="Wingdings"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num w:numId="1">
    <w:abstractNumId w:val="37"/>
  </w:num>
  <w:num w:numId="2">
    <w:abstractNumId w:val="35"/>
  </w:num>
  <w:num w:numId="3">
    <w:abstractNumId w:val="18"/>
  </w:num>
  <w:num w:numId="4">
    <w:abstractNumId w:val="12"/>
  </w:num>
  <w:num w:numId="5">
    <w:abstractNumId w:val="41"/>
  </w:num>
  <w:num w:numId="6">
    <w:abstractNumId w:val="2"/>
  </w:num>
  <w:num w:numId="7">
    <w:abstractNumId w:val="36"/>
  </w:num>
  <w:num w:numId="8">
    <w:abstractNumId w:val="40"/>
  </w:num>
  <w:num w:numId="9">
    <w:abstractNumId w:val="11"/>
  </w:num>
  <w:num w:numId="10">
    <w:abstractNumId w:val="20"/>
  </w:num>
  <w:num w:numId="11">
    <w:abstractNumId w:val="13"/>
  </w:num>
  <w:num w:numId="12">
    <w:abstractNumId w:val="0"/>
  </w:num>
  <w:num w:numId="13">
    <w:abstractNumId w:val="19"/>
  </w:num>
  <w:num w:numId="14">
    <w:abstractNumId w:val="6"/>
  </w:num>
  <w:num w:numId="15">
    <w:abstractNumId w:val="23"/>
  </w:num>
  <w:num w:numId="16">
    <w:abstractNumId w:val="31"/>
  </w:num>
  <w:num w:numId="17">
    <w:abstractNumId w:val="17"/>
  </w:num>
  <w:num w:numId="18">
    <w:abstractNumId w:val="34"/>
  </w:num>
  <w:num w:numId="19">
    <w:abstractNumId w:val="14"/>
  </w:num>
  <w:num w:numId="20">
    <w:abstractNumId w:val="9"/>
  </w:num>
  <w:num w:numId="21">
    <w:abstractNumId w:val="24"/>
  </w:num>
  <w:num w:numId="22">
    <w:abstractNumId w:val="27"/>
  </w:num>
  <w:num w:numId="23">
    <w:abstractNumId w:val="10"/>
  </w:num>
  <w:num w:numId="24">
    <w:abstractNumId w:val="26"/>
  </w:num>
  <w:num w:numId="25">
    <w:abstractNumId w:val="8"/>
  </w:num>
  <w:num w:numId="26">
    <w:abstractNumId w:val="32"/>
  </w:num>
  <w:num w:numId="27">
    <w:abstractNumId w:val="33"/>
  </w:num>
  <w:num w:numId="28">
    <w:abstractNumId w:val="21"/>
  </w:num>
  <w:num w:numId="29">
    <w:abstractNumId w:val="39"/>
  </w:num>
  <w:num w:numId="30">
    <w:abstractNumId w:val="3"/>
  </w:num>
  <w:num w:numId="31">
    <w:abstractNumId w:val="25"/>
  </w:num>
  <w:num w:numId="32">
    <w:abstractNumId w:val="16"/>
  </w:num>
  <w:num w:numId="33">
    <w:abstractNumId w:val="29"/>
  </w:num>
  <w:num w:numId="34">
    <w:abstractNumId w:val="5"/>
  </w:num>
  <w:num w:numId="35">
    <w:abstractNumId w:val="4"/>
  </w:num>
  <w:num w:numId="36">
    <w:abstractNumId w:val="1"/>
  </w:num>
  <w:num w:numId="37">
    <w:abstractNumId w:val="28"/>
  </w:num>
  <w:num w:numId="38">
    <w:abstractNumId w:val="7"/>
  </w:num>
  <w:num w:numId="39">
    <w:abstractNumId w:val="30"/>
  </w:num>
  <w:num w:numId="40">
    <w:abstractNumId w:val="15"/>
  </w:num>
  <w:num w:numId="41">
    <w:abstractNumId w:val="38"/>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0A7D65-71CD-46D1-AAC6-43D7416F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uiPriority w:val="99"/>
    <w:pPr>
      <w:widowControl w:val="0"/>
      <w:spacing w:after="0" w:line="240" w:lineRule="exact"/>
      <w:jc w:val="both"/>
    </w:pPr>
    <w:rPr>
      <w:rFonts w:ascii="Century Schoolbook" w:eastAsia="Times New Roman" w:hAnsi="Century Schoolbook" w:cs="Century Schoolbook"/>
      <w:sz w:val="20"/>
      <w:szCs w:val="20"/>
      <w:lang w:eastAsia="fr-FR"/>
    </w:rPr>
  </w:style>
  <w:style w:type="character" w:customStyle="1" w:styleId="CommentaireCar">
    <w:name w:val="Commentaire Car"/>
    <w:basedOn w:val="Policepardfaut"/>
    <w:link w:val="Commentaire"/>
    <w:uiPriority w:val="99"/>
    <w:rPr>
      <w:rFonts w:ascii="Century Schoolbook" w:eastAsia="Times New Roman" w:hAnsi="Century Schoolbook" w:cs="Century Schoolbook"/>
      <w:sz w:val="20"/>
      <w:szCs w:val="20"/>
      <w:lang w:eastAsia="fr-FR"/>
    </w:rPr>
  </w:style>
  <w:style w:type="paragraph" w:styleId="Notedebasdepage">
    <w:name w:val="footnote text"/>
    <w:basedOn w:val="Normal"/>
    <w:link w:val="NotedebasdepageCar"/>
    <w:uiPriority w:val="99"/>
    <w:semiHidden/>
    <w:unhideWhenUsed/>
    <w:pPr>
      <w:spacing w:after="0" w:line="240" w:lineRule="auto"/>
    </w:pPr>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unhideWhenUsed/>
    <w:rPr>
      <w:vertAlign w:val="superscript"/>
    </w:rPr>
  </w:style>
  <w:style w:type="character" w:styleId="Marquedecommentaire">
    <w:name w:val="annotation reference"/>
    <w:basedOn w:val="Policepardfaut"/>
    <w:uiPriority w:val="99"/>
    <w:semiHidden/>
    <w:unhideWhenUsed/>
    <w:rPr>
      <w:sz w:val="16"/>
      <w:szCs w:val="16"/>
    </w:rPr>
  </w:style>
  <w:style w:type="paragraph" w:styleId="En-tte">
    <w:name w:val="header"/>
    <w:basedOn w:val="Normal"/>
    <w:link w:val="En-tteCar"/>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Paragraphedeliste">
    <w:name w:val="List Paragraph"/>
    <w:basedOn w:val="Normal"/>
    <w:uiPriority w:val="34"/>
    <w:qFormat/>
    <w:pPr>
      <w:spacing w:after="160" w:line="259" w:lineRule="auto"/>
      <w:ind w:left="720"/>
      <w:contextualSpacing/>
    </w:pPr>
    <w:rPr>
      <w:rFonts w:ascii="Calibri" w:eastAsia="Calibri" w:hAnsi="Calibri" w:cs="Times New Roman"/>
    </w:rPr>
  </w:style>
  <w:style w:type="table" w:styleId="Grilledutableau">
    <w:name w:val="Table Grid"/>
    <w:basedOn w:val="Tableau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jetducommentaire">
    <w:name w:val="annotation subject"/>
    <w:basedOn w:val="Commentaire"/>
    <w:next w:val="Commentaire"/>
    <w:link w:val="ObjetducommentaireCar"/>
    <w:uiPriority w:val="99"/>
    <w:semiHidden/>
    <w:unhideWhenUsed/>
    <w:pPr>
      <w:widowControl/>
      <w:spacing w:after="200" w:line="240" w:lineRule="auto"/>
      <w:jc w:val="left"/>
    </w:pPr>
    <w:rPr>
      <w:rFonts w:asciiTheme="minorHAnsi" w:eastAsiaTheme="minorHAnsi" w:hAnsiTheme="minorHAnsi" w:cstheme="minorBidi"/>
      <w:b/>
      <w:bCs/>
      <w:lang w:eastAsia="en-US"/>
    </w:rPr>
  </w:style>
  <w:style w:type="character" w:customStyle="1" w:styleId="ObjetducommentaireCar">
    <w:name w:val="Objet du commentaire Car"/>
    <w:basedOn w:val="CommentaireCar"/>
    <w:link w:val="Objetducommentaire"/>
    <w:uiPriority w:val="99"/>
    <w:semiHidden/>
    <w:rPr>
      <w:rFonts w:ascii="Century Schoolbook" w:eastAsia="Times New Roman" w:hAnsi="Century Schoolbook" w:cs="Century Schoolbook"/>
      <w:b/>
      <w:bCs/>
      <w:sz w:val="20"/>
      <w:szCs w:val="20"/>
      <w:lang w:eastAsia="fr-FR"/>
    </w:rPr>
  </w:style>
  <w:style w:type="character" w:styleId="Lienhypertexte">
    <w:name w:val="Hyperlink"/>
    <w:basedOn w:val="Policepardfaut"/>
    <w:uiPriority w:val="99"/>
    <w:unhideWhenUsed/>
    <w:rPr>
      <w:color w:val="0563C1" w:themeColor="hyperlink"/>
      <w:u w:val="single"/>
    </w:rPr>
  </w:style>
  <w:style w:type="character" w:styleId="lev">
    <w:name w:val="Strong"/>
    <w:basedOn w:val="Policepardfaut"/>
    <w:uiPriority w:val="22"/>
    <w:qFormat/>
    <w:rPr>
      <w:b/>
      <w:bCs/>
    </w:rPr>
  </w:style>
  <w:style w:type="paragraph" w:customStyle="1" w:styleId="text-justify">
    <w:name w:val="text-justify"/>
    <w:basedOn w:val="Normal"/>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styleId="Titre">
    <w:name w:val="Title"/>
    <w:basedOn w:val="Normal"/>
    <w:next w:val="Normal"/>
    <w:link w:val="TitreCar"/>
    <w:uiPriority w:val="10"/>
    <w:qFormat/>
    <w:pPr>
      <w:spacing w:before="3600" w:after="240" w:line="240" w:lineRule="auto"/>
      <w:contextualSpacing/>
    </w:pPr>
    <w:rPr>
      <w:rFonts w:asciiTheme="majorHAnsi" w:eastAsiaTheme="majorEastAsia" w:hAnsiTheme="majorHAnsi" w:cstheme="majorBidi"/>
      <w:b/>
      <w:caps/>
      <w:color w:val="5B9BD5" w:themeColor="accent1"/>
      <w:spacing w:val="30"/>
      <w:kern w:val="28"/>
      <w:sz w:val="72"/>
      <w:szCs w:val="52"/>
      <w:lang w:val="nl-BE" w:eastAsia="nl-BE"/>
      <w14:textOutline w14:w="9525" w14:cap="rnd" w14:cmpd="sng" w14:algn="ctr">
        <w14:noFill/>
        <w14:prstDash w14:val="solid"/>
        <w14:bevel/>
      </w14:textOutline>
    </w:rPr>
  </w:style>
  <w:style w:type="character" w:customStyle="1" w:styleId="TitreCar">
    <w:name w:val="Titre Car"/>
    <w:basedOn w:val="Policepardfaut"/>
    <w:link w:val="Titre"/>
    <w:uiPriority w:val="10"/>
    <w:rPr>
      <w:rFonts w:asciiTheme="majorHAnsi" w:eastAsiaTheme="majorEastAsia" w:hAnsiTheme="majorHAnsi" w:cstheme="majorBidi"/>
      <w:b/>
      <w:caps/>
      <w:color w:val="5B9BD5" w:themeColor="accent1"/>
      <w:spacing w:val="30"/>
      <w:kern w:val="28"/>
      <w:sz w:val="72"/>
      <w:szCs w:val="52"/>
      <w:lang w:val="nl-BE" w:eastAsia="nl-BE"/>
      <w14:textOutline w14:w="9525" w14:cap="rnd" w14:cmpd="sng" w14:algn="ctr">
        <w14:noFill/>
        <w14:prstDash w14:val="solid"/>
        <w14:bevel/>
      </w14:textOutline>
    </w:rPr>
  </w:style>
  <w:style w:type="paragraph" w:styleId="Sous-titre">
    <w:name w:val="Subtitle"/>
    <w:basedOn w:val="Normal"/>
    <w:next w:val="Normal"/>
    <w:link w:val="Sous-titreCar"/>
    <w:uiPriority w:val="11"/>
    <w:qFormat/>
    <w:pPr>
      <w:numPr>
        <w:ilvl w:val="1"/>
      </w:numPr>
      <w:spacing w:after="0" w:line="274" w:lineRule="auto"/>
    </w:pPr>
    <w:rPr>
      <w:rFonts w:ascii="Arial" w:eastAsiaTheme="majorEastAsia" w:hAnsi="Arial" w:cstheme="majorBidi"/>
      <w:b/>
      <w:iCs/>
      <w:caps/>
      <w:color w:val="ED7D31" w:themeColor="accent2"/>
      <w:sz w:val="44"/>
      <w:szCs w:val="24"/>
      <w:lang w:val="nl-BE" w:eastAsia="nl-BE" w:bidi="hi-IN"/>
    </w:rPr>
  </w:style>
  <w:style w:type="character" w:customStyle="1" w:styleId="Sous-titreCar">
    <w:name w:val="Sous-titre Car"/>
    <w:basedOn w:val="Policepardfaut"/>
    <w:link w:val="Sous-titre"/>
    <w:uiPriority w:val="11"/>
    <w:rPr>
      <w:rFonts w:ascii="Arial" w:eastAsiaTheme="majorEastAsia" w:hAnsi="Arial" w:cstheme="majorBidi"/>
      <w:b/>
      <w:iCs/>
      <w:caps/>
      <w:color w:val="ED7D31" w:themeColor="accent2"/>
      <w:sz w:val="44"/>
      <w:szCs w:val="24"/>
      <w:lang w:val="nl-BE" w:eastAsia="nl-BE" w:bidi="hi-IN"/>
    </w:rPr>
  </w:style>
  <w:style w:type="character" w:styleId="Textedelespacerserv">
    <w:name w:val="Placeholder Text"/>
    <w:basedOn w:val="Policepardfaut"/>
    <w:uiPriority w:val="99"/>
    <w:semiHidden/>
    <w:rPr>
      <w:color w:val="808080"/>
    </w:rPr>
  </w:style>
  <w:style w:type="character" w:customStyle="1" w:styleId="LienInternet">
    <w:name w:val="Lien Internet"/>
    <w:basedOn w:val="Policepardfau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187403">
      <w:bodyDiv w:val="1"/>
      <w:marLeft w:val="0"/>
      <w:marRight w:val="0"/>
      <w:marTop w:val="0"/>
      <w:marBottom w:val="0"/>
      <w:divBdr>
        <w:top w:val="none" w:sz="0" w:space="0" w:color="auto"/>
        <w:left w:val="none" w:sz="0" w:space="0" w:color="auto"/>
        <w:bottom w:val="none" w:sz="0" w:space="0" w:color="auto"/>
        <w:right w:val="none" w:sz="0" w:space="0" w:color="auto"/>
      </w:divBdr>
    </w:div>
    <w:div w:id="83113119">
      <w:bodyDiv w:val="1"/>
      <w:marLeft w:val="0"/>
      <w:marRight w:val="0"/>
      <w:marTop w:val="0"/>
      <w:marBottom w:val="0"/>
      <w:divBdr>
        <w:top w:val="none" w:sz="0" w:space="0" w:color="auto"/>
        <w:left w:val="none" w:sz="0" w:space="0" w:color="auto"/>
        <w:bottom w:val="none" w:sz="0" w:space="0" w:color="auto"/>
        <w:right w:val="none" w:sz="0" w:space="0" w:color="auto"/>
      </w:divBdr>
      <w:divsChild>
        <w:div w:id="1078482781">
          <w:marLeft w:val="0"/>
          <w:marRight w:val="0"/>
          <w:marTop w:val="0"/>
          <w:marBottom w:val="300"/>
          <w:divBdr>
            <w:top w:val="none" w:sz="0" w:space="0" w:color="auto"/>
            <w:left w:val="none" w:sz="0" w:space="0" w:color="auto"/>
            <w:bottom w:val="none" w:sz="0" w:space="0" w:color="auto"/>
            <w:right w:val="none" w:sz="0" w:space="0" w:color="auto"/>
          </w:divBdr>
          <w:divsChild>
            <w:div w:id="1281105944">
              <w:marLeft w:val="0"/>
              <w:marRight w:val="0"/>
              <w:marTop w:val="0"/>
              <w:marBottom w:val="0"/>
              <w:divBdr>
                <w:top w:val="none" w:sz="0" w:space="0" w:color="auto"/>
                <w:left w:val="none" w:sz="0" w:space="0" w:color="auto"/>
                <w:bottom w:val="none" w:sz="0" w:space="0" w:color="auto"/>
                <w:right w:val="none" w:sz="0" w:space="0" w:color="auto"/>
              </w:divBdr>
              <w:divsChild>
                <w:div w:id="1271743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916541">
          <w:marLeft w:val="0"/>
          <w:marRight w:val="0"/>
          <w:marTop w:val="0"/>
          <w:marBottom w:val="0"/>
          <w:divBdr>
            <w:top w:val="none" w:sz="0" w:space="0" w:color="auto"/>
            <w:left w:val="none" w:sz="0" w:space="0" w:color="auto"/>
            <w:bottom w:val="none" w:sz="0" w:space="0" w:color="auto"/>
            <w:right w:val="none" w:sz="0" w:space="0" w:color="auto"/>
          </w:divBdr>
          <w:divsChild>
            <w:div w:id="1068459371">
              <w:marLeft w:val="0"/>
              <w:marRight w:val="0"/>
              <w:marTop w:val="0"/>
              <w:marBottom w:val="0"/>
              <w:divBdr>
                <w:top w:val="none" w:sz="0" w:space="0" w:color="auto"/>
                <w:left w:val="none" w:sz="0" w:space="0" w:color="auto"/>
                <w:bottom w:val="none" w:sz="0" w:space="0" w:color="auto"/>
                <w:right w:val="none" w:sz="0" w:space="0" w:color="auto"/>
              </w:divBdr>
              <w:divsChild>
                <w:div w:id="45583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8261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30">
          <w:marLeft w:val="0"/>
          <w:marRight w:val="0"/>
          <w:marTop w:val="0"/>
          <w:marBottom w:val="300"/>
          <w:divBdr>
            <w:top w:val="none" w:sz="0" w:space="0" w:color="auto"/>
            <w:left w:val="none" w:sz="0" w:space="0" w:color="auto"/>
            <w:bottom w:val="none" w:sz="0" w:space="0" w:color="auto"/>
            <w:right w:val="none" w:sz="0" w:space="0" w:color="auto"/>
          </w:divBdr>
          <w:divsChild>
            <w:div w:id="1768697891">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 w:id="298539975">
      <w:bodyDiv w:val="1"/>
      <w:marLeft w:val="0"/>
      <w:marRight w:val="0"/>
      <w:marTop w:val="0"/>
      <w:marBottom w:val="0"/>
      <w:divBdr>
        <w:top w:val="none" w:sz="0" w:space="0" w:color="auto"/>
        <w:left w:val="none" w:sz="0" w:space="0" w:color="auto"/>
        <w:bottom w:val="none" w:sz="0" w:space="0" w:color="auto"/>
        <w:right w:val="none" w:sz="0" w:space="0" w:color="auto"/>
      </w:divBdr>
      <w:divsChild>
        <w:div w:id="278148709">
          <w:marLeft w:val="0"/>
          <w:marRight w:val="0"/>
          <w:marTop w:val="0"/>
          <w:marBottom w:val="300"/>
          <w:divBdr>
            <w:top w:val="none" w:sz="0" w:space="0" w:color="auto"/>
            <w:left w:val="none" w:sz="0" w:space="0" w:color="auto"/>
            <w:bottom w:val="none" w:sz="0" w:space="0" w:color="auto"/>
            <w:right w:val="none" w:sz="0" w:space="0" w:color="auto"/>
          </w:divBdr>
          <w:divsChild>
            <w:div w:id="1678577041">
              <w:marLeft w:val="0"/>
              <w:marRight w:val="0"/>
              <w:marTop w:val="0"/>
              <w:marBottom w:val="0"/>
              <w:divBdr>
                <w:top w:val="none" w:sz="0" w:space="0" w:color="auto"/>
                <w:left w:val="none" w:sz="0" w:space="0" w:color="auto"/>
                <w:bottom w:val="none" w:sz="0" w:space="0" w:color="auto"/>
                <w:right w:val="none" w:sz="0" w:space="0" w:color="auto"/>
              </w:divBdr>
              <w:divsChild>
                <w:div w:id="44145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811333">
          <w:marLeft w:val="0"/>
          <w:marRight w:val="0"/>
          <w:marTop w:val="0"/>
          <w:marBottom w:val="0"/>
          <w:divBdr>
            <w:top w:val="none" w:sz="0" w:space="0" w:color="auto"/>
            <w:left w:val="none" w:sz="0" w:space="0" w:color="auto"/>
            <w:bottom w:val="none" w:sz="0" w:space="0" w:color="auto"/>
            <w:right w:val="none" w:sz="0" w:space="0" w:color="auto"/>
          </w:divBdr>
          <w:divsChild>
            <w:div w:id="2079008906">
              <w:marLeft w:val="0"/>
              <w:marRight w:val="0"/>
              <w:marTop w:val="0"/>
              <w:marBottom w:val="0"/>
              <w:divBdr>
                <w:top w:val="none" w:sz="0" w:space="0" w:color="auto"/>
                <w:left w:val="none" w:sz="0" w:space="0" w:color="auto"/>
                <w:bottom w:val="none" w:sz="0" w:space="0" w:color="auto"/>
                <w:right w:val="none" w:sz="0" w:space="0" w:color="auto"/>
              </w:divBdr>
              <w:divsChild>
                <w:div w:id="132057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6037892">
      <w:bodyDiv w:val="1"/>
      <w:marLeft w:val="0"/>
      <w:marRight w:val="0"/>
      <w:marTop w:val="0"/>
      <w:marBottom w:val="0"/>
      <w:divBdr>
        <w:top w:val="none" w:sz="0" w:space="0" w:color="auto"/>
        <w:left w:val="none" w:sz="0" w:space="0" w:color="auto"/>
        <w:bottom w:val="none" w:sz="0" w:space="0" w:color="auto"/>
        <w:right w:val="none" w:sz="0" w:space="0" w:color="auto"/>
      </w:divBdr>
    </w:div>
    <w:div w:id="963999381">
      <w:bodyDiv w:val="1"/>
      <w:marLeft w:val="0"/>
      <w:marRight w:val="0"/>
      <w:marTop w:val="0"/>
      <w:marBottom w:val="0"/>
      <w:divBdr>
        <w:top w:val="none" w:sz="0" w:space="0" w:color="auto"/>
        <w:left w:val="none" w:sz="0" w:space="0" w:color="auto"/>
        <w:bottom w:val="none" w:sz="0" w:space="0" w:color="auto"/>
        <w:right w:val="none" w:sz="0" w:space="0" w:color="auto"/>
      </w:divBdr>
    </w:div>
    <w:div w:id="1404255694">
      <w:bodyDiv w:val="1"/>
      <w:marLeft w:val="0"/>
      <w:marRight w:val="0"/>
      <w:marTop w:val="0"/>
      <w:marBottom w:val="0"/>
      <w:divBdr>
        <w:top w:val="none" w:sz="0" w:space="0" w:color="auto"/>
        <w:left w:val="none" w:sz="0" w:space="0" w:color="auto"/>
        <w:bottom w:val="none" w:sz="0" w:space="0" w:color="auto"/>
        <w:right w:val="none" w:sz="0" w:space="0" w:color="auto"/>
      </w:divBdr>
    </w:div>
    <w:div w:id="1788498968">
      <w:bodyDiv w:val="1"/>
      <w:marLeft w:val="0"/>
      <w:marRight w:val="0"/>
      <w:marTop w:val="0"/>
      <w:marBottom w:val="0"/>
      <w:divBdr>
        <w:top w:val="none" w:sz="0" w:space="0" w:color="auto"/>
        <w:left w:val="none" w:sz="0" w:space="0" w:color="auto"/>
        <w:bottom w:val="none" w:sz="0" w:space="0" w:color="auto"/>
        <w:right w:val="none" w:sz="0" w:space="0" w:color="auto"/>
      </w:divBdr>
      <w:divsChild>
        <w:div w:id="291793519">
          <w:marLeft w:val="0"/>
          <w:marRight w:val="0"/>
          <w:marTop w:val="0"/>
          <w:marBottom w:val="300"/>
          <w:divBdr>
            <w:top w:val="none" w:sz="0" w:space="0" w:color="auto"/>
            <w:left w:val="none" w:sz="0" w:space="0" w:color="auto"/>
            <w:bottom w:val="none" w:sz="0" w:space="0" w:color="auto"/>
            <w:right w:val="none" w:sz="0" w:space="0" w:color="auto"/>
          </w:divBdr>
          <w:divsChild>
            <w:div w:id="1583642386">
              <w:marLeft w:val="0"/>
              <w:marRight w:val="0"/>
              <w:marTop w:val="0"/>
              <w:marBottom w:val="0"/>
              <w:divBdr>
                <w:top w:val="none" w:sz="0" w:space="0" w:color="auto"/>
                <w:left w:val="none" w:sz="0" w:space="0" w:color="auto"/>
                <w:bottom w:val="none" w:sz="0" w:space="0" w:color="auto"/>
                <w:right w:val="none" w:sz="0" w:space="0" w:color="auto"/>
              </w:divBdr>
              <w:divsChild>
                <w:div w:id="67668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539152">
          <w:marLeft w:val="0"/>
          <w:marRight w:val="0"/>
          <w:marTop w:val="0"/>
          <w:marBottom w:val="0"/>
          <w:divBdr>
            <w:top w:val="none" w:sz="0" w:space="0" w:color="auto"/>
            <w:left w:val="none" w:sz="0" w:space="0" w:color="auto"/>
            <w:bottom w:val="none" w:sz="0" w:space="0" w:color="auto"/>
            <w:right w:val="none" w:sz="0" w:space="0" w:color="auto"/>
          </w:divBdr>
          <w:divsChild>
            <w:div w:id="1714303471">
              <w:marLeft w:val="0"/>
              <w:marRight w:val="0"/>
              <w:marTop w:val="0"/>
              <w:marBottom w:val="0"/>
              <w:divBdr>
                <w:top w:val="none" w:sz="0" w:space="0" w:color="auto"/>
                <w:left w:val="none" w:sz="0" w:space="0" w:color="auto"/>
                <w:bottom w:val="none" w:sz="0" w:space="0" w:color="auto"/>
                <w:right w:val="none" w:sz="0" w:space="0" w:color="auto"/>
              </w:divBdr>
              <w:divsChild>
                <w:div w:id="97244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752470">
      <w:bodyDiv w:val="1"/>
      <w:marLeft w:val="0"/>
      <w:marRight w:val="0"/>
      <w:marTop w:val="0"/>
      <w:marBottom w:val="0"/>
      <w:divBdr>
        <w:top w:val="none" w:sz="0" w:space="0" w:color="auto"/>
        <w:left w:val="none" w:sz="0" w:space="0" w:color="auto"/>
        <w:bottom w:val="none" w:sz="0" w:space="0" w:color="auto"/>
        <w:right w:val="none" w:sz="0" w:space="0" w:color="auto"/>
      </w:divBdr>
      <w:divsChild>
        <w:div w:id="1316454020">
          <w:marLeft w:val="0"/>
          <w:marRight w:val="0"/>
          <w:marTop w:val="0"/>
          <w:marBottom w:val="300"/>
          <w:divBdr>
            <w:top w:val="none" w:sz="0" w:space="0" w:color="auto"/>
            <w:left w:val="none" w:sz="0" w:space="0" w:color="auto"/>
            <w:bottom w:val="none" w:sz="0" w:space="0" w:color="auto"/>
            <w:right w:val="none" w:sz="0" w:space="0" w:color="auto"/>
          </w:divBdr>
          <w:divsChild>
            <w:div w:id="1128478239">
              <w:marLeft w:val="0"/>
              <w:marRight w:val="0"/>
              <w:marTop w:val="0"/>
              <w:marBottom w:val="0"/>
              <w:divBdr>
                <w:top w:val="none" w:sz="0" w:space="0" w:color="auto"/>
                <w:left w:val="none" w:sz="0" w:space="0" w:color="auto"/>
                <w:bottom w:val="none" w:sz="0" w:space="0" w:color="auto"/>
                <w:right w:val="none" w:sz="0" w:space="0" w:color="auto"/>
              </w:divBdr>
              <w:divsChild>
                <w:div w:id="193450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459736">
          <w:marLeft w:val="0"/>
          <w:marRight w:val="0"/>
          <w:marTop w:val="0"/>
          <w:marBottom w:val="0"/>
          <w:divBdr>
            <w:top w:val="none" w:sz="0" w:space="0" w:color="auto"/>
            <w:left w:val="none" w:sz="0" w:space="0" w:color="auto"/>
            <w:bottom w:val="none" w:sz="0" w:space="0" w:color="auto"/>
            <w:right w:val="none" w:sz="0" w:space="0" w:color="auto"/>
          </w:divBdr>
          <w:divsChild>
            <w:div w:id="611670712">
              <w:marLeft w:val="0"/>
              <w:marRight w:val="0"/>
              <w:marTop w:val="0"/>
              <w:marBottom w:val="0"/>
              <w:divBdr>
                <w:top w:val="none" w:sz="0" w:space="0" w:color="auto"/>
                <w:left w:val="none" w:sz="0" w:space="0" w:color="auto"/>
                <w:bottom w:val="none" w:sz="0" w:space="0" w:color="auto"/>
                <w:right w:val="none" w:sz="0" w:space="0" w:color="auto"/>
              </w:divBdr>
              <w:divsChild>
                <w:div w:id="81391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lection.promotion@w-b-e.be"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wbe.be/jobs-et-carriere/emploi-dans-lenseignement/"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mailto:selection.promotion@w-b-e.be" TargetMode="External"/><Relationship Id="rId14" Type="http://schemas.openxmlformats.org/officeDocument/2006/relationships/header" Target="header1.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C22C4B8A2F3343FB8157AA5FFF2D5B3A"/>
        <w:category>
          <w:name w:val="Général"/>
          <w:gallery w:val="placeholder"/>
        </w:category>
        <w:types>
          <w:type w:val="bbPlcHdr"/>
        </w:types>
        <w:behaviors>
          <w:behavior w:val="content"/>
        </w:behaviors>
        <w:guid w:val="{2E32BC21-E18A-47DD-988E-731C31659960}"/>
      </w:docPartPr>
      <w:docPartBody>
        <w:p>
          <w:pPr>
            <w:pStyle w:val="C22C4B8A2F3343FB8157AA5FFF2D5B3A"/>
          </w:pPr>
          <w:r>
            <w:rPr>
              <w:rStyle w:val="Textedelespacerserv"/>
            </w:rPr>
            <w:t>[Adresse société]</w:t>
          </w:r>
        </w:p>
      </w:docPartBody>
    </w:docPart>
    <w:docPart>
      <w:docPartPr>
        <w:name w:val="C1A32BC6A9ED4180A68271C259367FAC"/>
        <w:category>
          <w:name w:val="Général"/>
          <w:gallery w:val="placeholder"/>
        </w:category>
        <w:types>
          <w:type w:val="bbPlcHdr"/>
        </w:types>
        <w:behaviors>
          <w:behavior w:val="content"/>
        </w:behaviors>
        <w:guid w:val="{A5DDFAC2-3472-40AA-B115-FBFA4CBA77E4}"/>
      </w:docPartPr>
      <w:docPartBody>
        <w:p>
          <w:pPr>
            <w:pStyle w:val="C1A32BC6A9ED4180A68271C259367FAC"/>
          </w:pPr>
          <w:r>
            <w:rPr>
              <w:rStyle w:val="Textedelespacerserv"/>
            </w:rPr>
            <w:t>[Auteur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Pr>
      <w:color w:val="808080"/>
    </w:rPr>
  </w:style>
  <w:style w:type="paragraph" w:customStyle="1" w:styleId="4036341E419A49F99BFFFB9FC01D7C3D">
    <w:name w:val="4036341E419A49F99BFFFB9FC01D7C3D"/>
  </w:style>
  <w:style w:type="paragraph" w:customStyle="1" w:styleId="8FDDBD0754E24377BF5119D64564F0E6">
    <w:name w:val="8FDDBD0754E24377BF5119D64564F0E6"/>
  </w:style>
  <w:style w:type="paragraph" w:customStyle="1" w:styleId="16E5E324ECF54EC7B3C6DB2AC946F64D">
    <w:name w:val="16E5E324ECF54EC7B3C6DB2AC946F64D"/>
  </w:style>
  <w:style w:type="paragraph" w:customStyle="1" w:styleId="00910196EA19406BBE0C03051DB80F04">
    <w:name w:val="00910196EA19406BBE0C03051DB80F04"/>
  </w:style>
  <w:style w:type="paragraph" w:customStyle="1" w:styleId="F899B1A7B54247B4B8F00DE972D9C7ED">
    <w:name w:val="F899B1A7B54247B4B8F00DE972D9C7ED"/>
  </w:style>
  <w:style w:type="paragraph" w:customStyle="1" w:styleId="E7AAF1DED7314C0787E81DA5143387C6">
    <w:name w:val="E7AAF1DED7314C0787E81DA5143387C6"/>
  </w:style>
  <w:style w:type="paragraph" w:customStyle="1" w:styleId="C22C4B8A2F3343FB8157AA5FFF2D5B3A">
    <w:name w:val="C22C4B8A2F3343FB8157AA5FFF2D5B3A"/>
  </w:style>
  <w:style w:type="paragraph" w:customStyle="1" w:styleId="C1A32BC6A9ED4180A68271C259367FAC">
    <w:name w:val="C1A32BC6A9ED4180A68271C259367FA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Directeur/Directrice</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AD1401B-4EC1-4119-9656-57823F007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4657</Words>
  <Characters>25616</Characters>
  <Application>Microsoft Office Word</Application>
  <DocSecurity>0</DocSecurity>
  <Lines>213</Lines>
  <Paragraphs>60</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30213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Institut de promotion sociale</dc:creator>
  <cp:keywords/>
  <dc:description/>
  <cp:lastModifiedBy>LIJNEN Nicolas</cp:lastModifiedBy>
  <cp:revision>2</cp:revision>
  <cp:lastPrinted>2024-03-19T08:07:00Z</cp:lastPrinted>
  <dcterms:created xsi:type="dcterms:W3CDTF">2024-03-19T09:40:00Z</dcterms:created>
  <dcterms:modified xsi:type="dcterms:W3CDTF">2024-03-19T09:40:00Z</dcterms:modified>
</cp:coreProperties>
</file>